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3D312" w14:textId="0C5A8106" w:rsidR="00EB4CC3" w:rsidRPr="003729A0" w:rsidRDefault="00EB4CC3">
      <w:pPr>
        <w:rPr>
          <w:b/>
          <w:bCs/>
        </w:rPr>
      </w:pPr>
      <w:r w:rsidRPr="003729A0">
        <w:rPr>
          <w:b/>
          <w:bCs/>
          <w:lang w:val="en-US"/>
        </w:rPr>
        <w:t xml:space="preserve">COVID-19 </w:t>
      </w:r>
      <w:r w:rsidRPr="003729A0">
        <w:rPr>
          <w:b/>
          <w:bCs/>
        </w:rPr>
        <w:t>ვაქცინით აცრილი მოსახლეობის რაოდენობა</w:t>
      </w:r>
      <w:r w:rsidR="00FB7080" w:rsidRPr="003729A0">
        <w:rPr>
          <w:b/>
          <w:bCs/>
        </w:rPr>
        <w:t xml:space="preserve">, </w:t>
      </w:r>
      <w:r w:rsidR="005A6429">
        <w:rPr>
          <w:b/>
          <w:bCs/>
        </w:rPr>
        <w:t>11</w:t>
      </w:r>
      <w:r w:rsidR="00FB7080" w:rsidRPr="003729A0">
        <w:rPr>
          <w:b/>
          <w:bCs/>
        </w:rPr>
        <w:t>.0</w:t>
      </w:r>
      <w:r w:rsidR="00F0282F">
        <w:rPr>
          <w:b/>
          <w:bCs/>
          <w:lang w:val="en-US"/>
        </w:rPr>
        <w:t>3</w:t>
      </w:r>
      <w:r w:rsidR="00FB7080" w:rsidRPr="003729A0">
        <w:rPr>
          <w:b/>
          <w:bCs/>
        </w:rPr>
        <w:t>.2021</w:t>
      </w:r>
      <w:r w:rsidR="00FB7080" w:rsidRPr="003729A0">
        <w:rPr>
          <w:rStyle w:val="FootnoteReference"/>
          <w:b/>
          <w:bCs/>
        </w:rPr>
        <w:footnoteReference w:id="1"/>
      </w:r>
    </w:p>
    <w:p w14:paraId="0C81C03D" w14:textId="457300F0" w:rsidR="004D4340" w:rsidRPr="00954F53" w:rsidRDefault="00FB7080" w:rsidP="00F45F99">
      <w:r>
        <w:t>ჯამში გაკეთებული</w:t>
      </w:r>
      <w:r w:rsidR="00440355">
        <w:t>ა</w:t>
      </w:r>
      <w:r>
        <w:t xml:space="preserve"> </w:t>
      </w:r>
      <w:bookmarkStart w:id="0" w:name="_Hlk65394531"/>
      <w:r w:rsidR="0084710B">
        <w:rPr>
          <w:lang w:val="en-US"/>
        </w:rPr>
        <w:t>328</w:t>
      </w:r>
      <w:bookmarkStart w:id="1" w:name="_GoBack"/>
      <w:bookmarkEnd w:id="1"/>
      <w:r w:rsidR="009F1C01">
        <w:rPr>
          <w:lang w:val="en-US"/>
        </w:rPr>
        <w:t> 266 015</w:t>
      </w:r>
      <w:r w:rsidR="00F0282F">
        <w:rPr>
          <w:lang w:val="en-US"/>
        </w:rPr>
        <w:t xml:space="preserve"> </w:t>
      </w:r>
      <w:r w:rsidR="00F0282F">
        <w:t>მლნ</w:t>
      </w:r>
      <w:r w:rsidR="00543CE7">
        <w:rPr>
          <w:lang w:val="en-US"/>
        </w:rPr>
        <w:t xml:space="preserve"> </w:t>
      </w:r>
      <w:bookmarkEnd w:id="0"/>
      <w:r w:rsidR="00F45F99">
        <w:t xml:space="preserve">დოზა </w:t>
      </w:r>
      <w:r w:rsidR="00F45F99" w:rsidRPr="00F45F99">
        <w:t>SARS-CoV-2</w:t>
      </w:r>
      <w:r w:rsidR="00F45F99">
        <w:t xml:space="preserve"> </w:t>
      </w:r>
      <w:r w:rsidR="00954F53">
        <w:t>ვაქცინა</w:t>
      </w:r>
      <w:r w:rsidR="00F45F99">
        <w:t>.</w:t>
      </w:r>
      <w:r w:rsidR="00AC0041">
        <w:t xml:space="preserve"> </w:t>
      </w:r>
      <w:r w:rsidR="004D4340">
        <w:t xml:space="preserve">ვაქცინაცია დაწყებულია </w:t>
      </w:r>
      <w:r w:rsidR="00625780">
        <w:rPr>
          <w:lang w:val="en-US"/>
        </w:rPr>
        <w:t>1</w:t>
      </w:r>
      <w:r w:rsidR="00954F53">
        <w:t>2</w:t>
      </w:r>
      <w:r w:rsidR="005A6429">
        <w:t>5</w:t>
      </w:r>
      <w:r w:rsidR="00731E92">
        <w:rPr>
          <w:lang w:val="en-US"/>
        </w:rPr>
        <w:t xml:space="preserve"> </w:t>
      </w:r>
      <w:r w:rsidR="004D4340">
        <w:t>ქვეყანა</w:t>
      </w:r>
      <w:r w:rsidR="00A33292">
        <w:t xml:space="preserve">სა </w:t>
      </w:r>
      <w:r w:rsidR="00F0282F">
        <w:t xml:space="preserve">და </w:t>
      </w:r>
      <w:r w:rsidR="00A33292">
        <w:t>რეგიონში</w:t>
      </w:r>
      <w:r w:rsidR="00882345">
        <w:rPr>
          <w:rStyle w:val="FootnoteReference"/>
        </w:rPr>
        <w:footnoteReference w:id="2"/>
      </w:r>
      <w:r w:rsidR="00BE7658">
        <w:t>.</w:t>
      </w:r>
      <w:r w:rsidR="00012043">
        <w:t xml:space="preserve"> აღნიშნული ტემპით გაგრძელების შემთხვევაში, მოსახლეობის ორი დოზით ასაცრელად და კოლექტიური იმუნიტეტის მისაღწევად (75%) გათვლებით </w:t>
      </w:r>
      <w:r w:rsidR="00012043" w:rsidRPr="00D20709">
        <w:rPr>
          <w:u w:val="single"/>
        </w:rPr>
        <w:t xml:space="preserve">საჭიროა </w:t>
      </w:r>
      <w:r w:rsidR="009F1C01">
        <w:rPr>
          <w:u w:val="single"/>
          <w:lang w:val="en-US"/>
        </w:rPr>
        <w:t>3.9</w:t>
      </w:r>
      <w:r w:rsidR="00954F53">
        <w:rPr>
          <w:u w:val="single"/>
        </w:rPr>
        <w:t xml:space="preserve"> </w:t>
      </w:r>
      <w:r w:rsidR="00012043" w:rsidRPr="00D20709">
        <w:rPr>
          <w:u w:val="single"/>
        </w:rPr>
        <w:t>წელი</w:t>
      </w:r>
      <w:r w:rsidR="00954F53">
        <w:rPr>
          <w:u w:val="single"/>
        </w:rPr>
        <w:t xml:space="preserve"> </w:t>
      </w:r>
      <w:r w:rsidR="00954F53" w:rsidRPr="00954F53">
        <w:t>(წინა კვირის მაჩვენებელია 4.9 წელი)</w:t>
      </w:r>
      <w:r w:rsidR="00012043" w:rsidRPr="00954F53">
        <w:t>.</w:t>
      </w:r>
    </w:p>
    <w:p w14:paraId="7B4725A1" w14:textId="3FB73868" w:rsidR="002E5F4D" w:rsidRDefault="002E5F4D" w:rsidP="00F45F99">
      <w:r>
        <w:t xml:space="preserve">წინა კვირასთან შედარებით, გლობალურად </w:t>
      </w:r>
      <w:r w:rsidR="008E4505">
        <w:t>24</w:t>
      </w:r>
      <w:r w:rsidR="00255BE9">
        <w:rPr>
          <w:lang w:val="en-US"/>
        </w:rPr>
        <w:t>%</w:t>
      </w:r>
      <w:r>
        <w:t>-ით გაზრდილია ვაქცინაცია.</w:t>
      </w:r>
    </w:p>
    <w:p w14:paraId="6B7641EE" w14:textId="3359E105" w:rsidR="00411497" w:rsidRPr="00625780" w:rsidRDefault="00F45F99" w:rsidP="00F45F99">
      <w:r>
        <w:t xml:space="preserve">არსებული მონაცემებით, </w:t>
      </w:r>
      <w:bookmarkStart w:id="2" w:name="_Hlk65394625"/>
      <w:r>
        <w:t>აშშ ლიდერობს აბსოლუტურ</w:t>
      </w:r>
      <w:r w:rsidR="00AC0041">
        <w:t>ი</w:t>
      </w:r>
      <w:r>
        <w:t xml:space="preserve"> ციფრებით ადმინისტრირებული დოზებით (</w:t>
      </w:r>
      <w:r w:rsidR="009F1C01">
        <w:rPr>
          <w:lang w:val="en-US"/>
        </w:rPr>
        <w:t>9</w:t>
      </w:r>
      <w:r w:rsidR="005A6429">
        <w:t>5 721 290</w:t>
      </w:r>
      <w:r w:rsidR="00862E83">
        <w:t>)</w:t>
      </w:r>
      <w:r w:rsidR="00A33292">
        <w:t xml:space="preserve">. </w:t>
      </w:r>
      <w:r w:rsidR="00862E83">
        <w:t xml:space="preserve">მეორე </w:t>
      </w:r>
      <w:r>
        <w:t xml:space="preserve">ადგილზეა ჩინეთი </w:t>
      </w:r>
      <w:r w:rsidR="004C34CD">
        <w:t>(</w:t>
      </w:r>
      <w:r w:rsidR="00983101">
        <w:rPr>
          <w:lang w:val="en-US"/>
        </w:rPr>
        <w:t>52 500 000</w:t>
      </w:r>
      <w:r w:rsidR="004C34CD">
        <w:t>)</w:t>
      </w:r>
      <w:r w:rsidR="000F0640" w:rsidRPr="00625780">
        <w:t>,</w:t>
      </w:r>
      <w:r>
        <w:t xml:space="preserve"> </w:t>
      </w:r>
      <w:r w:rsidR="00AC0041">
        <w:t>მესამეზე</w:t>
      </w:r>
      <w:r w:rsidR="005A6429">
        <w:t xml:space="preserve"> </w:t>
      </w:r>
      <w:r w:rsidR="00810369">
        <w:t xml:space="preserve">ადგილზეა ევროკავშირი (43 992 307), მეოთხეზე </w:t>
      </w:r>
      <w:r w:rsidR="005A6429">
        <w:t>გადმოინაცვლა ინდოეთმა (25 289 693), მე</w:t>
      </w:r>
      <w:r w:rsidR="00810369">
        <w:t>ხუთე</w:t>
      </w:r>
      <w:r w:rsidR="00AC0041">
        <w:t xml:space="preserve"> </w:t>
      </w:r>
      <w:r w:rsidR="00726277">
        <w:t>გაერთიანებული სამეფო</w:t>
      </w:r>
      <w:r w:rsidR="00121646">
        <w:t xml:space="preserve"> (</w:t>
      </w:r>
      <w:r w:rsidR="00625780">
        <w:t>2</w:t>
      </w:r>
      <w:r w:rsidR="005A6429">
        <w:t>4 064 182</w:t>
      </w:r>
      <w:r w:rsidR="004C34CD">
        <w:t>)</w:t>
      </w:r>
      <w:r w:rsidR="00625780">
        <w:t xml:space="preserve">, </w:t>
      </w:r>
      <w:r w:rsidR="00F0282F">
        <w:t>მე</w:t>
      </w:r>
      <w:r w:rsidR="00810369">
        <w:t>ექვსე</w:t>
      </w:r>
      <w:r w:rsidR="00625780">
        <w:t xml:space="preserve"> </w:t>
      </w:r>
      <w:r w:rsidR="00983101">
        <w:t>ადგილზეა ბრაზილია</w:t>
      </w:r>
      <w:r w:rsidR="00625780">
        <w:t xml:space="preserve"> (</w:t>
      </w:r>
      <w:r w:rsidR="00954F53">
        <w:t>1</w:t>
      </w:r>
      <w:r w:rsidR="005A6429">
        <w:t>2 042 283</w:t>
      </w:r>
      <w:r w:rsidR="00625780">
        <w:t>)</w:t>
      </w:r>
      <w:r w:rsidR="005A6429">
        <w:t>, მე</w:t>
      </w:r>
      <w:r w:rsidR="00810369">
        <w:t>შვიდე</w:t>
      </w:r>
      <w:r w:rsidR="005A6429">
        <w:t xml:space="preserve"> ადგილზეა თურქეთი (10 414 031), მე</w:t>
      </w:r>
      <w:r w:rsidR="00810369">
        <w:t>რვე</w:t>
      </w:r>
      <w:r w:rsidR="005A6429">
        <w:t xml:space="preserve"> - ისრაელი (9 057 073), მე</w:t>
      </w:r>
      <w:r w:rsidR="00810369">
        <w:t>ცხრე</w:t>
      </w:r>
      <w:r w:rsidR="005A6429">
        <w:t xml:space="preserve"> გერმანია (9 057 073), მე</w:t>
      </w:r>
      <w:r w:rsidR="00810369">
        <w:t>ათე რუსეთი (7 500 000)</w:t>
      </w:r>
      <w:r w:rsidR="00A33292">
        <w:t>.</w:t>
      </w:r>
    </w:p>
    <w:bookmarkEnd w:id="2"/>
    <w:p w14:paraId="63D9A039" w14:textId="5538E52A" w:rsidR="00862E83" w:rsidRPr="00411497" w:rsidRDefault="00726277" w:rsidP="00983101">
      <w:pPr>
        <w:rPr>
          <w:lang w:val="en-US"/>
        </w:rPr>
      </w:pPr>
      <w:r>
        <w:t>მოსახლეობის მოცვის მიხედვით</w:t>
      </w:r>
      <w:r w:rsidR="00862E83">
        <w:t>, სადაც დასრულებულია აცრა,</w:t>
      </w:r>
      <w:r>
        <w:t xml:space="preserve"> ლიდერობს </w:t>
      </w:r>
      <w:bookmarkStart w:id="3" w:name="_Hlk65394573"/>
      <w:r w:rsidR="003512F0">
        <w:t>გიბრალტარი (</w:t>
      </w:r>
      <w:r w:rsidR="00983101">
        <w:t>4</w:t>
      </w:r>
      <w:r w:rsidR="00810369">
        <w:t>7.4</w:t>
      </w:r>
      <w:r w:rsidR="003512F0">
        <w:t xml:space="preserve">%), მეორე ადგილზეა </w:t>
      </w:r>
      <w:r w:rsidR="00F45F99">
        <w:t>ისრაელი (</w:t>
      </w:r>
      <w:r w:rsidR="00983101">
        <w:t>4</w:t>
      </w:r>
      <w:r w:rsidR="00810369">
        <w:t>6.2</w:t>
      </w:r>
      <w:r w:rsidR="00862E83">
        <w:t>%</w:t>
      </w:r>
      <w:r w:rsidR="00F45F99">
        <w:t xml:space="preserve">), </w:t>
      </w:r>
      <w:r w:rsidR="00862E83">
        <w:t>მე</w:t>
      </w:r>
      <w:r w:rsidR="003512F0">
        <w:t>სამე</w:t>
      </w:r>
      <w:r w:rsidR="00862E83">
        <w:t xml:space="preserve"> </w:t>
      </w:r>
      <w:r w:rsidR="00121646">
        <w:t>სეიშელი (</w:t>
      </w:r>
      <w:r w:rsidR="00F87A3E">
        <w:rPr>
          <w:lang w:val="en-US"/>
        </w:rPr>
        <w:t>2</w:t>
      </w:r>
      <w:r w:rsidR="00810369">
        <w:t>7</w:t>
      </w:r>
      <w:r w:rsidR="00121646">
        <w:t>%), მე</w:t>
      </w:r>
      <w:r w:rsidR="003512F0">
        <w:t>ოთხე</w:t>
      </w:r>
      <w:r w:rsidR="00810369">
        <w:t xml:space="preserve"> მეექვსე </w:t>
      </w:r>
      <w:r w:rsidR="00954F53">
        <w:t xml:space="preserve">ბერმუდები (13.9%), მეხუთე </w:t>
      </w:r>
      <w:r w:rsidR="00810369">
        <w:t xml:space="preserve">კაიმანის კუნძულები (13.5%), მეექვსე </w:t>
      </w:r>
      <w:r w:rsidR="009F1C01">
        <w:t>ბაჰრეინი</w:t>
      </w:r>
      <w:r w:rsidR="009F1C01">
        <w:rPr>
          <w:lang w:val="en-US"/>
        </w:rPr>
        <w:t xml:space="preserve"> (1</w:t>
      </w:r>
      <w:r w:rsidR="00810369">
        <w:t>2.1</w:t>
      </w:r>
      <w:r w:rsidR="009F1C01">
        <w:rPr>
          <w:lang w:val="en-US"/>
        </w:rPr>
        <w:t>%)</w:t>
      </w:r>
      <w:r w:rsidR="009F1C01">
        <w:t>, მე</w:t>
      </w:r>
      <w:r w:rsidR="00810369">
        <w:t>შვიდე</w:t>
      </w:r>
      <w:r w:rsidR="009F1C01">
        <w:t xml:space="preserve"> </w:t>
      </w:r>
      <w:r w:rsidR="00F0282F">
        <w:t>კუნძული მენი (</w:t>
      </w:r>
      <w:r w:rsidR="009F1C01">
        <w:t>10</w:t>
      </w:r>
      <w:r w:rsidR="00810369">
        <w:t>.9</w:t>
      </w:r>
      <w:r w:rsidR="00F0282F">
        <w:t>%), მე</w:t>
      </w:r>
      <w:r w:rsidR="00810369">
        <w:t>რვე</w:t>
      </w:r>
      <w:r w:rsidR="00983101">
        <w:t xml:space="preserve"> ადგილზე </w:t>
      </w:r>
      <w:r w:rsidR="00F41F64">
        <w:t>აშშ</w:t>
      </w:r>
      <w:r w:rsidR="00983101">
        <w:t xml:space="preserve"> (</w:t>
      </w:r>
      <w:r w:rsidR="009F1C01">
        <w:t>9.</w:t>
      </w:r>
      <w:r w:rsidR="00810369">
        <w:t>8</w:t>
      </w:r>
      <w:r w:rsidR="00983101">
        <w:t>%), მე</w:t>
      </w:r>
      <w:r w:rsidR="00810369">
        <w:t>ცხრე</w:t>
      </w:r>
      <w:r w:rsidR="00983101">
        <w:t xml:space="preserve"> </w:t>
      </w:r>
      <w:r w:rsidR="00F41F64">
        <w:t>სერბეთი</w:t>
      </w:r>
      <w:r w:rsidR="00983101">
        <w:t xml:space="preserve"> (</w:t>
      </w:r>
      <w:r w:rsidR="00F41F64">
        <w:t>9.</w:t>
      </w:r>
      <w:r w:rsidR="00810369">
        <w:t>5</w:t>
      </w:r>
      <w:r w:rsidR="00983101">
        <w:t xml:space="preserve">%), </w:t>
      </w:r>
      <w:r w:rsidR="00F0282F">
        <w:t xml:space="preserve">მეათე </w:t>
      </w:r>
      <w:r w:rsidR="009F1C01">
        <w:t>მალტა</w:t>
      </w:r>
      <w:r w:rsidR="00F0282F">
        <w:t xml:space="preserve"> (</w:t>
      </w:r>
      <w:r w:rsidR="00810369">
        <w:t>8</w:t>
      </w:r>
      <w:r w:rsidR="00F0282F">
        <w:t>%)</w:t>
      </w:r>
      <w:r w:rsidR="00121646">
        <w:t>.</w:t>
      </w:r>
      <w:bookmarkEnd w:id="3"/>
    </w:p>
    <w:p w14:paraId="3AF5502A" w14:textId="7E15ABAB" w:rsidR="00862E83" w:rsidRDefault="00862E83" w:rsidP="00F45F99">
      <w:r>
        <w:t>ისრაელი ლიდერობს</w:t>
      </w:r>
      <w:r w:rsidR="00FD6A5D">
        <w:t xml:space="preserve"> გაკეთებული </w:t>
      </w:r>
      <w:r w:rsidR="00983101">
        <w:t xml:space="preserve">საერთო </w:t>
      </w:r>
      <w:r w:rsidR="00FD6A5D">
        <w:t>დოზებით</w:t>
      </w:r>
      <w:r>
        <w:t xml:space="preserve"> მოსახლე</w:t>
      </w:r>
      <w:r w:rsidR="00FD6A5D">
        <w:t>ო</w:t>
      </w:r>
      <w:r>
        <w:t xml:space="preserve">ბის მოცვის მიხედვით </w:t>
      </w:r>
      <w:r w:rsidR="00954F53">
        <w:t>-</w:t>
      </w:r>
      <w:r w:rsidR="00731E92">
        <w:t xml:space="preserve"> </w:t>
      </w:r>
      <w:r w:rsidR="00312CB5">
        <w:t xml:space="preserve">ჯამში </w:t>
      </w:r>
      <w:r w:rsidR="00B63C62">
        <w:t>100.07</w:t>
      </w:r>
      <w:r w:rsidR="00312CB5">
        <w:t xml:space="preserve"> / 100 მოსახლეზე</w:t>
      </w:r>
      <w:r w:rsidR="00117E45">
        <w:t xml:space="preserve">, </w:t>
      </w:r>
      <w:r w:rsidR="00611A46">
        <w:t>რაც მეტია ვიდრე</w:t>
      </w:r>
      <w:r w:rsidR="00117E45">
        <w:t xml:space="preserve"> </w:t>
      </w:r>
      <w:r w:rsidR="004D6FB9">
        <w:t>სეიშელ</w:t>
      </w:r>
      <w:r w:rsidR="004D5C83">
        <w:t>ი</w:t>
      </w:r>
      <w:r w:rsidR="004D6FB9">
        <w:t xml:space="preserve"> </w:t>
      </w:r>
      <w:r w:rsidR="00312CB5">
        <w:t>8</w:t>
      </w:r>
      <w:r w:rsidR="00B63C62">
        <w:t>9.6</w:t>
      </w:r>
      <w:r w:rsidR="00312CB5">
        <w:t xml:space="preserve"> / 100 მოსახლეზე </w:t>
      </w:r>
      <w:r w:rsidR="00FD6A5D">
        <w:t>და გაერთიანებულ არაბთა ემირატებ</w:t>
      </w:r>
      <w:r w:rsidR="004D5C83">
        <w:t>ი</w:t>
      </w:r>
      <w:r w:rsidR="00FD6A5D">
        <w:t xml:space="preserve"> </w:t>
      </w:r>
      <w:r w:rsidR="00312CB5">
        <w:t>5</w:t>
      </w:r>
      <w:r w:rsidR="00B63C62">
        <w:t>9.24</w:t>
      </w:r>
      <w:r w:rsidR="00312CB5">
        <w:t xml:space="preserve"> / 100 მოსახლეზე,</w:t>
      </w:r>
      <w:r w:rsidR="004D6FB9">
        <w:t xml:space="preserve"> </w:t>
      </w:r>
      <w:r w:rsidR="00983101">
        <w:t xml:space="preserve">მალდივები </w:t>
      </w:r>
      <w:r w:rsidR="009F1C01">
        <w:t>4</w:t>
      </w:r>
      <w:r w:rsidR="00B63C62">
        <w:t>7.17</w:t>
      </w:r>
      <w:r w:rsidR="00312CB5">
        <w:t xml:space="preserve"> / 100 მოსახლეზე,</w:t>
      </w:r>
      <w:r w:rsidR="00983101">
        <w:t xml:space="preserve"> </w:t>
      </w:r>
      <w:r w:rsidR="00611A46">
        <w:t xml:space="preserve">3-ჯერ მეტი ვიდრე </w:t>
      </w:r>
      <w:r w:rsidR="00F45F99">
        <w:t>გაერთიანებულ სამეფო</w:t>
      </w:r>
      <w:r w:rsidR="00312CB5">
        <w:t xml:space="preserve"> 3</w:t>
      </w:r>
      <w:r w:rsidR="00B63C62">
        <w:t>6.03</w:t>
      </w:r>
      <w:r w:rsidR="00312CB5">
        <w:t xml:space="preserve"> / 100 მოსახლეზე</w:t>
      </w:r>
      <w:r w:rsidR="00983101">
        <w:t xml:space="preserve"> </w:t>
      </w:r>
      <w:r w:rsidR="00F87A3E">
        <w:t xml:space="preserve">და </w:t>
      </w:r>
      <w:r w:rsidR="00312CB5">
        <w:t>4</w:t>
      </w:r>
      <w:r w:rsidR="005C258B">
        <w:t>-</w:t>
      </w:r>
      <w:r w:rsidR="00F87A3E">
        <w:t>ჯერ</w:t>
      </w:r>
      <w:r w:rsidR="00611A46">
        <w:t xml:space="preserve"> მეტი ვიდრე </w:t>
      </w:r>
      <w:r w:rsidR="009F1C01">
        <w:t>ბაჰრეინსა 34.</w:t>
      </w:r>
      <w:r w:rsidR="00B63C62">
        <w:t>67</w:t>
      </w:r>
      <w:r w:rsidR="009F1C01">
        <w:t xml:space="preserve"> / 100 მოსახლეზე და </w:t>
      </w:r>
      <w:r w:rsidR="00726277">
        <w:t>აშშ</w:t>
      </w:r>
      <w:r w:rsidR="00611A46">
        <w:t xml:space="preserve"> </w:t>
      </w:r>
      <w:r w:rsidR="009F1C01">
        <w:t>90 </w:t>
      </w:r>
      <w:r w:rsidR="00312CB5">
        <w:t>2</w:t>
      </w:r>
      <w:r w:rsidR="00B63C62">
        <w:t>8.83</w:t>
      </w:r>
      <w:r w:rsidR="00312CB5">
        <w:t xml:space="preserve"> / 100 მოსახლეზე.</w:t>
      </w:r>
      <w:r w:rsidR="004C34CD">
        <w:t xml:space="preserve"> </w:t>
      </w:r>
    </w:p>
    <w:p w14:paraId="5AA3A5BD" w14:textId="3DF02572" w:rsidR="004C0BB7" w:rsidRDefault="004C34CD" w:rsidP="00891374">
      <w:r>
        <w:t>ევროკავშირ</w:t>
      </w:r>
      <w:r w:rsidR="00B63C62">
        <w:t xml:space="preserve">სა და </w:t>
      </w:r>
      <w:r w:rsidR="00B63C62" w:rsidRPr="00B63C62">
        <w:t>ევროპის ეკონომიკური სივრც</w:t>
      </w:r>
      <w:r w:rsidR="00B63C62">
        <w:t>ის ქვეყნებში (</w:t>
      </w:r>
      <w:r w:rsidR="00B63C62">
        <w:rPr>
          <w:lang w:val="en-US"/>
        </w:rPr>
        <w:t>EU/EEA)</w:t>
      </w:r>
      <w:r w:rsidR="00B63C62" w:rsidRPr="00B63C62">
        <w:t xml:space="preserve"> </w:t>
      </w:r>
      <w:r>
        <w:t>ჯამში ამ დრო</w:t>
      </w:r>
      <w:r w:rsidR="00700367">
        <w:t>ი</w:t>
      </w:r>
      <w:r>
        <w:t>ს</w:t>
      </w:r>
      <w:r w:rsidR="00700367">
        <w:t>თვის</w:t>
      </w:r>
      <w:r>
        <w:t xml:space="preserve"> </w:t>
      </w:r>
      <w:bookmarkStart w:id="4" w:name="_Hlk65394696"/>
      <w:r w:rsidR="00954F53">
        <w:t xml:space="preserve">გაკეთებულია </w:t>
      </w:r>
      <w:r w:rsidR="00B63C62">
        <w:t>54 207 310</w:t>
      </w:r>
      <w:r w:rsidR="00954F53">
        <w:t xml:space="preserve"> დოზა ვაქცინა, მოც</w:t>
      </w:r>
      <w:r w:rsidR="009F1C01">
        <w:t>ვა 9.</w:t>
      </w:r>
      <w:r w:rsidR="00B63C62">
        <w:t>9</w:t>
      </w:r>
      <w:r w:rsidR="009F1C01">
        <w:t xml:space="preserve"> / 100 მოსახლეზე</w:t>
      </w:r>
      <w:r w:rsidR="004F610C">
        <w:t>, საიდანაც</w:t>
      </w:r>
      <w:r w:rsidR="00954F53">
        <w:t xml:space="preserve"> სრულად</w:t>
      </w:r>
      <w:r w:rsidR="004F610C">
        <w:t xml:space="preserve"> აცრილია </w:t>
      </w:r>
      <w:r w:rsidR="00B63C62">
        <w:t>3</w:t>
      </w:r>
      <w:r w:rsidR="004F610C">
        <w:t>%</w:t>
      </w:r>
      <w:bookmarkEnd w:id="4"/>
      <w:r w:rsidR="00FE6EAB">
        <w:rPr>
          <w:rStyle w:val="FootnoteReference"/>
        </w:rPr>
        <w:footnoteReference w:id="3"/>
      </w:r>
      <w:r w:rsidR="00FE6EAB">
        <w:t>,</w:t>
      </w:r>
      <w:r w:rsidR="00FE6EAB">
        <w:rPr>
          <w:rStyle w:val="FootnoteReference"/>
        </w:rPr>
        <w:footnoteReference w:id="4"/>
      </w:r>
      <w:r w:rsidR="004F610C">
        <w:t>.</w:t>
      </w:r>
    </w:p>
    <w:p w14:paraId="40D960C7" w14:textId="56C5066E" w:rsidR="00B63C62" w:rsidRDefault="00B63C62" w:rsidP="00891374">
      <w:r>
        <w:t>აღნიშნულ ქვეყნებში (29 ქვეყანა) ვაქცინების მწარმოებლის მიხედვით</w:t>
      </w:r>
      <w:r w:rsidR="00654921">
        <w:t xml:space="preserve"> მოხმარება</w:t>
      </w:r>
      <w:r w:rsidR="00654921" w:rsidRPr="00654921">
        <w:t xml:space="preserve"> </w:t>
      </w:r>
      <w:r w:rsidR="00654921">
        <w:t>მერყეობს:</w:t>
      </w:r>
    </w:p>
    <w:p w14:paraId="7D9576C9" w14:textId="4E258DF1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Astra-Zeneca</w:t>
      </w:r>
      <w:r>
        <w:t xml:space="preserve"> – 14%-იდან (ჩეხეთი) 47.5%-მდე (ლატვია)</w:t>
      </w:r>
    </w:p>
    <w:p w14:paraId="4F87883A" w14:textId="12850CDA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Pfizer</w:t>
      </w:r>
      <w:r>
        <w:t xml:space="preserve"> – 44.1%-იდან (უნგრეთი) 79.1%-მდე (რუმინეთი)</w:t>
      </w:r>
    </w:p>
    <w:p w14:paraId="206778E7" w14:textId="440295DC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Moderna</w:t>
      </w:r>
      <w:r>
        <w:t xml:space="preserve"> – 3.5%-დან (დანია) 47.1%-მდე (ლიხტენშტეინი)</w:t>
      </w:r>
    </w:p>
    <w:p w14:paraId="02473D7E" w14:textId="1C1803DE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Sputnik</w:t>
      </w:r>
      <w:r>
        <w:t xml:space="preserve"> – 7.2% (უნგრეთი)</w:t>
      </w:r>
    </w:p>
    <w:p w14:paraId="1F3B3533" w14:textId="3A362563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Sinopharm</w:t>
      </w:r>
      <w:r>
        <w:t xml:space="preserve"> – 27.3% (უნგრეთი)</w:t>
      </w:r>
    </w:p>
    <w:p w14:paraId="11E324DB" w14:textId="4D04EF58" w:rsidR="00810369" w:rsidRDefault="00810369" w:rsidP="00891374">
      <w:r>
        <w:t xml:space="preserve">ვაქცინაციის დაწყების თარიღის მიხედვით, ყველაზე ადრე (96 დღის წინ) დაწყებულია რუსეთში და მოსახლეობის მოცვა შეადგენს 5 / 100 მოსახლეზე, შემდეგ გაერთიანებული სამეფო (93 დღის წინ) მოცვით 35 / 100 მოსახლეზე და აშშ (87 დღის წინ) მოცვით 29 / 100 მოსახლეზე. ამ დროისათვის ყველაზე გვინა (10 დღის წინ) ვაქცინაცია დაწყებულია </w:t>
      </w:r>
      <w:r w:rsidR="00B63C62">
        <w:t>ურუგვაიში, ფილიპინებზე, მოლდოვასა და განაში.</w:t>
      </w:r>
    </w:p>
    <w:p w14:paraId="252E4743" w14:textId="6011079E" w:rsidR="000A3D0F" w:rsidRDefault="000F646A" w:rsidP="000F646A">
      <w:r>
        <w:t>ამ დროისათვის უნივერსალური მიდგომ</w:t>
      </w:r>
      <w:r w:rsidR="009B114C">
        <w:t>ა</w:t>
      </w:r>
      <w:r>
        <w:t>, როდესაც განურჩევლად ხდება მოსახლეობის ყველა ფენის აცრა, აღინიშნება ტაილანდში</w:t>
      </w:r>
      <w:r w:rsidR="000A3D0F">
        <w:t xml:space="preserve">, სადაც ვაქცინაცია დაწყებულია 11 დღის წინ, მოხმარებულია 7 262 დოზა და ბულგარეთი, სადაც აცრები დაწყებულია 74 დღის წინ და მოხმარებულია 309 145 დოზა. </w:t>
      </w:r>
    </w:p>
    <w:p w14:paraId="27DE7866" w14:textId="51A57A45" w:rsidR="00345C40" w:rsidRDefault="000A3D0F" w:rsidP="000F646A">
      <w:r>
        <w:t xml:space="preserve">ასევე, განსხვავებული მიდგომა აქვს გაერთიანებულ სამეფოს, სერბეთსა (აცრები დაიწყო 77 დღის წინ და გახარჯულია 1 792 912 დოზა) და გაერთიანებულ არაბთა ემირატებს (ვაქცინაცია დაიწყო 70 დღის </w:t>
      </w:r>
      <w:r>
        <w:lastRenderedPageBreak/>
        <w:t xml:space="preserve">წინ და გაიხარჯა 6 325 211 დოზა), სადაც ესენციურ ჯგუფებთან ერთად იცრება სხვა ნებისმიერი მსურველი. </w:t>
      </w:r>
    </w:p>
    <w:p w14:paraId="2A26E116" w14:textId="0BD4B2B4" w:rsidR="002777D3" w:rsidRDefault="00F24D93" w:rsidP="002777D3">
      <w:r>
        <w:t xml:space="preserve">ოფიციალური მონაცემებით, გლობალურად, ადმინისტრირებული ვაქცინებიდან გამოყენების მხრივ ყველაზე მეტია </w:t>
      </w:r>
      <w:r w:rsidRPr="000A3D0F">
        <w:t>Pfizer (4</w:t>
      </w:r>
      <w:r w:rsidR="009B114C">
        <w:t>8.61</w:t>
      </w:r>
      <w:r w:rsidRPr="000A3D0F">
        <w:t xml:space="preserve"> </w:t>
      </w:r>
      <w:r>
        <w:t>მლნ</w:t>
      </w:r>
      <w:r w:rsidRPr="000A3D0F">
        <w:t>)</w:t>
      </w:r>
      <w:r>
        <w:t xml:space="preserve"> და </w:t>
      </w:r>
      <w:r w:rsidRPr="000A3D0F">
        <w:t>Moderna (</w:t>
      </w:r>
      <w:r>
        <w:t>4</w:t>
      </w:r>
      <w:r w:rsidR="009B114C">
        <w:t>6.54</w:t>
      </w:r>
      <w:r>
        <w:t xml:space="preserve"> მლნ), ხოლო შემდეგ </w:t>
      </w:r>
      <w:r w:rsidRPr="000A3D0F">
        <w:t xml:space="preserve">AstraZeneca </w:t>
      </w:r>
      <w:r>
        <w:t xml:space="preserve">და </w:t>
      </w:r>
      <w:r w:rsidRPr="000A3D0F">
        <w:t xml:space="preserve">Sinovac, </w:t>
      </w:r>
      <w:r>
        <w:t>თუმცა ვინაიდან ქვეყნების ნაწილი არ უთითებს გამოყენებულ ვაქცინას, ეს ციფრები საორიენტაციოა</w:t>
      </w:r>
      <w:r>
        <w:rPr>
          <w:rStyle w:val="FootnoteReference"/>
        </w:rPr>
        <w:footnoteReference w:id="5"/>
      </w:r>
      <w:r>
        <w:t>.</w:t>
      </w:r>
      <w:r w:rsidR="009B114C">
        <w:t xml:space="preserve"> ამ დროისათვის მოხმარებულია 458 911 დოზა </w:t>
      </w:r>
      <w:r w:rsidR="009B114C" w:rsidRPr="00321026">
        <w:rPr>
          <w:rFonts w:eastAsia="Times New Roman" w:cs="Arial"/>
          <w:color w:val="000000"/>
          <w:sz w:val="23"/>
          <w:szCs w:val="23"/>
        </w:rPr>
        <w:t>Johnson &amp; Johnson-</w:t>
      </w:r>
      <w:r w:rsidR="009B114C">
        <w:rPr>
          <w:rFonts w:eastAsia="Times New Roman" w:cs="Arial"/>
          <w:color w:val="000000"/>
          <w:sz w:val="23"/>
          <w:szCs w:val="23"/>
        </w:rPr>
        <w:t>ის ვაქცინა.</w:t>
      </w:r>
    </w:p>
    <w:p w14:paraId="44FE61C1" w14:textId="4F5DB54B" w:rsidR="00F24D93" w:rsidRDefault="00F24D93" w:rsidP="002777D3">
      <w:r>
        <w:t>ოფიციალური წყაროებში ასახულია ქვეყნების ნაწილი, რომლებიც უთითებენ კონკრეტულად გამოყენებულ ვაქცინას.</w:t>
      </w:r>
    </w:p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134"/>
        <w:gridCol w:w="1417"/>
        <w:gridCol w:w="993"/>
        <w:gridCol w:w="1134"/>
        <w:gridCol w:w="1275"/>
        <w:gridCol w:w="1258"/>
      </w:tblGrid>
      <w:tr w:rsidR="002C3FE1" w14:paraId="4E2D1B62" w14:textId="33FB0E87" w:rsidTr="00D27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32C9624" w14:textId="7E4C3391" w:rsidR="002C3FE1" w:rsidRPr="00B836EB" w:rsidRDefault="002C3FE1" w:rsidP="00B836EB">
            <w:pPr>
              <w:jc w:val="center"/>
              <w:rPr>
                <w:b w:val="0"/>
                <w:bCs w:val="0"/>
              </w:rPr>
            </w:pPr>
            <w:r w:rsidRPr="00B836EB">
              <w:rPr>
                <w:b w:val="0"/>
                <w:bCs w:val="0"/>
              </w:rPr>
              <w:t>ქვეყანა</w:t>
            </w:r>
          </w:p>
        </w:tc>
        <w:tc>
          <w:tcPr>
            <w:tcW w:w="992" w:type="dxa"/>
          </w:tcPr>
          <w:p w14:paraId="17A0DDF4" w14:textId="77777777" w:rsidR="002C3FE1" w:rsidRPr="00B836EB" w:rsidRDefault="002C3FE1" w:rsidP="00B83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B836EB">
              <w:rPr>
                <w:b w:val="0"/>
                <w:bCs w:val="0"/>
                <w:lang w:val="en-US"/>
              </w:rPr>
              <w:t>Pfizer</w:t>
            </w:r>
          </w:p>
          <w:p w14:paraId="60888385" w14:textId="77777777" w:rsidR="002C3FE1" w:rsidRPr="00B836EB" w:rsidRDefault="002C3FE1" w:rsidP="00B83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702A781B" w14:textId="55C81267" w:rsidR="002C3FE1" w:rsidRPr="00B836EB" w:rsidRDefault="002C3FE1" w:rsidP="00B83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proofErr w:type="spellStart"/>
            <w:r w:rsidRPr="00B836EB">
              <w:rPr>
                <w:b w:val="0"/>
                <w:bCs w:val="0"/>
                <w:lang w:val="en-US"/>
              </w:rPr>
              <w:t>Moderna</w:t>
            </w:r>
            <w:proofErr w:type="spellEnd"/>
          </w:p>
        </w:tc>
        <w:tc>
          <w:tcPr>
            <w:tcW w:w="1417" w:type="dxa"/>
          </w:tcPr>
          <w:p w14:paraId="368A2BFF" w14:textId="77777777" w:rsidR="002C3FE1" w:rsidRPr="00B836EB" w:rsidRDefault="002C3FE1" w:rsidP="00B83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B836EB">
              <w:rPr>
                <w:b w:val="0"/>
                <w:bCs w:val="0"/>
                <w:lang w:val="en-US"/>
              </w:rPr>
              <w:t>AstraZeneca</w:t>
            </w:r>
          </w:p>
          <w:p w14:paraId="284E9F24" w14:textId="77777777" w:rsidR="002C3FE1" w:rsidRPr="00B836EB" w:rsidRDefault="002C3FE1" w:rsidP="00B83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993" w:type="dxa"/>
          </w:tcPr>
          <w:p w14:paraId="6B3C0151" w14:textId="4D61EB1A" w:rsidR="002C3FE1" w:rsidRPr="00B836EB" w:rsidRDefault="002C3FE1" w:rsidP="00B83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proofErr w:type="spellStart"/>
            <w:r w:rsidRPr="00B836EB">
              <w:rPr>
                <w:b w:val="0"/>
                <w:bCs w:val="0"/>
                <w:lang w:val="en-US"/>
              </w:rPr>
              <w:t>Sinovac</w:t>
            </w:r>
            <w:proofErr w:type="spellEnd"/>
          </w:p>
        </w:tc>
        <w:tc>
          <w:tcPr>
            <w:tcW w:w="1134" w:type="dxa"/>
          </w:tcPr>
          <w:p w14:paraId="780B6713" w14:textId="3222BCB2" w:rsidR="002C3FE1" w:rsidRPr="00B836EB" w:rsidRDefault="002C3FE1" w:rsidP="00B83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proofErr w:type="spellStart"/>
            <w:r w:rsidRPr="00B836EB">
              <w:rPr>
                <w:b w:val="0"/>
                <w:bCs w:val="0"/>
                <w:lang w:val="en-US"/>
              </w:rPr>
              <w:t>Sputnic</w:t>
            </w:r>
            <w:proofErr w:type="spellEnd"/>
            <w:r w:rsidRPr="00B836EB">
              <w:rPr>
                <w:b w:val="0"/>
                <w:bCs w:val="0"/>
                <w:lang w:val="en-US"/>
              </w:rPr>
              <w:t xml:space="preserve"> V</w:t>
            </w:r>
          </w:p>
        </w:tc>
        <w:tc>
          <w:tcPr>
            <w:tcW w:w="1275" w:type="dxa"/>
          </w:tcPr>
          <w:p w14:paraId="687E3E68" w14:textId="546616CC" w:rsidR="002C3FE1" w:rsidRPr="00B836EB" w:rsidRDefault="002C3FE1" w:rsidP="00B83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proofErr w:type="spellStart"/>
            <w:r w:rsidRPr="00B836EB">
              <w:rPr>
                <w:b w:val="0"/>
                <w:bCs w:val="0"/>
                <w:lang w:val="en-US"/>
              </w:rPr>
              <w:t>Sinopharm</w:t>
            </w:r>
            <w:proofErr w:type="spellEnd"/>
          </w:p>
        </w:tc>
        <w:tc>
          <w:tcPr>
            <w:tcW w:w="1258" w:type="dxa"/>
          </w:tcPr>
          <w:p w14:paraId="41692018" w14:textId="4569FD41" w:rsidR="002C3FE1" w:rsidRPr="00B836EB" w:rsidRDefault="002C3FE1" w:rsidP="00B83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836EB">
              <w:rPr>
                <w:b w:val="0"/>
                <w:bCs w:val="0"/>
              </w:rPr>
              <w:t>სხვა</w:t>
            </w:r>
          </w:p>
        </w:tc>
      </w:tr>
      <w:tr w:rsidR="002C3FE1" w14:paraId="272D47E6" w14:textId="79010465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3806541" w14:textId="56596E64" w:rsidR="002C3FE1" w:rsidRPr="00D27703" w:rsidRDefault="002C3FE1" w:rsidP="002777D3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ალბანეთი</w:t>
            </w:r>
          </w:p>
        </w:tc>
        <w:tc>
          <w:tcPr>
            <w:tcW w:w="992" w:type="dxa"/>
          </w:tcPr>
          <w:p w14:paraId="5FB9429B" w14:textId="3FECCE7E" w:rsidR="002C3FE1" w:rsidRPr="00F01569" w:rsidRDefault="002C3FE1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13D25E6" w14:textId="59D36F66" w:rsidR="002C3FE1" w:rsidRPr="00F01569" w:rsidRDefault="002C3FE1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1E3D07C" w14:textId="1F658D80" w:rsidR="002C3FE1" w:rsidRPr="00F01569" w:rsidRDefault="002C3FE1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BC1D60D" w14:textId="15F21B21" w:rsidR="002C3FE1" w:rsidRPr="00F01569" w:rsidRDefault="002C3FE1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63D829E" w14:textId="04077A3D" w:rsidR="002C3FE1" w:rsidRPr="00F01569" w:rsidRDefault="002C3FE1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0C8ECB2" w14:textId="2DE920F2" w:rsidR="002C3FE1" w:rsidRPr="00F01569" w:rsidRDefault="002C3FE1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37128211" w14:textId="3E627905" w:rsidR="002C3FE1" w:rsidRDefault="009E444D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2C3FE1" w14:paraId="599810FF" w14:textId="5C1484E4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F2C173A" w14:textId="59B4773F" w:rsidR="002C3FE1" w:rsidRPr="00D27703" w:rsidRDefault="002C3FE1" w:rsidP="002777D3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ალჟირი</w:t>
            </w:r>
          </w:p>
        </w:tc>
        <w:tc>
          <w:tcPr>
            <w:tcW w:w="992" w:type="dxa"/>
          </w:tcPr>
          <w:p w14:paraId="2983C94A" w14:textId="23954765" w:rsidR="002C3FE1" w:rsidRPr="00F01569" w:rsidRDefault="00E330DF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FCDDEB8" w14:textId="46D1B545" w:rsidR="002C3FE1" w:rsidRPr="00F01569" w:rsidRDefault="00776EAA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7E61395" w14:textId="20F02C0B" w:rsidR="002C3FE1" w:rsidRPr="00F01569" w:rsidRDefault="00776EAA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08A13B2" w14:textId="7559E62A" w:rsidR="002C3FE1" w:rsidRPr="00F01569" w:rsidRDefault="00776EAA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C2261F7" w14:textId="35653B42" w:rsidR="002C3FE1" w:rsidRPr="00F01569" w:rsidRDefault="002C3FE1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0E151374" w14:textId="21159304" w:rsidR="002C3FE1" w:rsidRPr="00F01569" w:rsidRDefault="00776EAA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1A3AF9F2" w14:textId="62C98AD5" w:rsidR="002C3FE1" w:rsidRPr="00D27703" w:rsidRDefault="009E444D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C3FE1" w14:paraId="5EB46D01" w14:textId="63936798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9D0E7E5" w14:textId="5A5F35C9" w:rsidR="002C3FE1" w:rsidRPr="00D27703" w:rsidRDefault="002C3FE1" w:rsidP="002777D3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ანდორა</w:t>
            </w:r>
          </w:p>
        </w:tc>
        <w:tc>
          <w:tcPr>
            <w:tcW w:w="992" w:type="dxa"/>
          </w:tcPr>
          <w:p w14:paraId="1E5D0D31" w14:textId="079F3403" w:rsidR="002C3FE1" w:rsidRPr="00F01569" w:rsidRDefault="002C3FE1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2CFD1D6" w14:textId="7623FCEB" w:rsidR="002C3FE1" w:rsidRPr="00F01569" w:rsidRDefault="00776EAA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9B1F20F" w14:textId="38D65BC4" w:rsidR="002C3FE1" w:rsidRPr="00F01569" w:rsidRDefault="00776EAA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A9FF1E8" w14:textId="14DFBE0A" w:rsidR="002C3FE1" w:rsidRPr="00F01569" w:rsidRDefault="00776EAA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5101D8F" w14:textId="533A233D" w:rsidR="002C3FE1" w:rsidRPr="00F01569" w:rsidRDefault="00776EAA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64ACD57" w14:textId="53B5CCBB" w:rsidR="002C3FE1" w:rsidRPr="00F01569" w:rsidRDefault="00776EAA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8FA1247" w14:textId="68DFFB4C" w:rsidR="002C3FE1" w:rsidRPr="00D27703" w:rsidRDefault="009E444D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C3FE1" w14:paraId="254D7971" w14:textId="1C9C0264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AC69681" w14:textId="12DAAA97" w:rsidR="002C3FE1" w:rsidRPr="00D27703" w:rsidRDefault="002C3FE1" w:rsidP="002777D3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არგენტინა</w:t>
            </w:r>
          </w:p>
        </w:tc>
        <w:tc>
          <w:tcPr>
            <w:tcW w:w="992" w:type="dxa"/>
          </w:tcPr>
          <w:p w14:paraId="3F88B638" w14:textId="30E0AA03" w:rsidR="002C3FE1" w:rsidRPr="00F01569" w:rsidRDefault="00E330DF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AC356A3" w14:textId="5DAAAFF1" w:rsidR="002C3FE1" w:rsidRPr="00F01569" w:rsidRDefault="00776EAA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2DF9251" w14:textId="086378FC" w:rsidR="002C3FE1" w:rsidRPr="00F01569" w:rsidRDefault="000A3D0F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5FD04DE" w14:textId="668A44F2" w:rsidR="002C3FE1" w:rsidRPr="00F01569" w:rsidRDefault="00776EAA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6B09184" w14:textId="6DFC6CBA" w:rsidR="002C3FE1" w:rsidRPr="00F01569" w:rsidRDefault="002C3FE1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0ECB38C4" w14:textId="1A98ED90" w:rsidR="002C3FE1" w:rsidRPr="00F01569" w:rsidRDefault="001C4461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28146C94" w14:textId="73B87E5A" w:rsidR="002C3FE1" w:rsidRPr="00D27703" w:rsidRDefault="009E444D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C3FE1" w14:paraId="1DB88208" w14:textId="329630B9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838AD68" w14:textId="3BC5D5C0" w:rsidR="002C3FE1" w:rsidRPr="00D27703" w:rsidRDefault="002C3FE1" w:rsidP="002777D3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ავსტრია</w:t>
            </w:r>
          </w:p>
        </w:tc>
        <w:tc>
          <w:tcPr>
            <w:tcW w:w="992" w:type="dxa"/>
          </w:tcPr>
          <w:p w14:paraId="216141F4" w14:textId="73BA828B" w:rsidR="002C3FE1" w:rsidRPr="00F01569" w:rsidRDefault="002C3FE1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B2BF8F2" w14:textId="552EF6DF" w:rsidR="002C3FE1" w:rsidRPr="00F01569" w:rsidRDefault="002C3FE1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50FA2472" w14:textId="05C1A3E7" w:rsidR="002C3FE1" w:rsidRPr="00F01569" w:rsidRDefault="002C3FE1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754FCA9" w14:textId="6183E469" w:rsidR="002C3FE1" w:rsidRPr="00F01569" w:rsidRDefault="00776EAA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26DB1AB" w14:textId="7866CA33" w:rsidR="002C3FE1" w:rsidRPr="00F01569" w:rsidRDefault="00776EAA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545B188" w14:textId="2EF2728D" w:rsidR="002C3FE1" w:rsidRPr="00F01569" w:rsidRDefault="00776EAA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46D80392" w14:textId="07D44A8B" w:rsidR="002C3FE1" w:rsidRPr="00D27703" w:rsidRDefault="009E444D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0A3D0F" w14:paraId="7BBA0DE9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B8ADC8" w14:textId="7FBD7C15" w:rsidR="000A3D0F" w:rsidRPr="00D27703" w:rsidRDefault="000A3D0F" w:rsidP="002777D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ავსტრალია</w:t>
            </w:r>
          </w:p>
        </w:tc>
        <w:tc>
          <w:tcPr>
            <w:tcW w:w="992" w:type="dxa"/>
          </w:tcPr>
          <w:p w14:paraId="43EF910C" w14:textId="310FA276" w:rsidR="000A3D0F" w:rsidRPr="00F01569" w:rsidRDefault="000A3D0F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89C4676" w14:textId="6B74E9BE" w:rsidR="000A3D0F" w:rsidRPr="00F01569" w:rsidRDefault="000A3D0F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E47F32E" w14:textId="3FD863AE" w:rsidR="000A3D0F" w:rsidRPr="00F01569" w:rsidRDefault="000A3D0F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9493581" w14:textId="7F380E90" w:rsidR="000A3D0F" w:rsidRDefault="000A3D0F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8967133" w14:textId="2493A3EC" w:rsidR="000A3D0F" w:rsidRDefault="000A3D0F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E819B7A" w14:textId="4F046714" w:rsidR="000A3D0F" w:rsidRDefault="000A3D0F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D366B2B" w14:textId="76F35C01" w:rsidR="000A3D0F" w:rsidRPr="00D27703" w:rsidRDefault="000A3D0F" w:rsidP="00F01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2C3FE1" w14:paraId="247999B8" w14:textId="680DD420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A612C4C" w14:textId="09AE031F" w:rsidR="002C3FE1" w:rsidRPr="00D27703" w:rsidRDefault="002C3FE1" w:rsidP="002777D3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აზერბაიჯანი</w:t>
            </w:r>
          </w:p>
        </w:tc>
        <w:tc>
          <w:tcPr>
            <w:tcW w:w="992" w:type="dxa"/>
          </w:tcPr>
          <w:p w14:paraId="0CED2CB7" w14:textId="35E6F109" w:rsidR="002C3FE1" w:rsidRPr="00F01569" w:rsidRDefault="00E330DF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1D91870" w14:textId="782C9208" w:rsidR="002C3FE1" w:rsidRPr="00F01569" w:rsidRDefault="00776EAA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08B3DC2" w14:textId="66EB6E36" w:rsidR="002C3FE1" w:rsidRPr="00F01569" w:rsidRDefault="000A3D0F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8CCF060" w14:textId="1018F700" w:rsidR="002C3FE1" w:rsidRPr="00F01569" w:rsidRDefault="000A3D0F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92E8CDA" w14:textId="3FBA37BA" w:rsidR="002C3FE1" w:rsidRPr="00F01569" w:rsidRDefault="000A3D0F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9DE6947" w14:textId="2621625E" w:rsidR="002C3FE1" w:rsidRPr="00F01569" w:rsidRDefault="00776EAA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758FB287" w14:textId="763C761B" w:rsidR="002C3FE1" w:rsidRPr="00D27703" w:rsidRDefault="009E444D" w:rsidP="00F01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3589DC6C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803B818" w14:textId="11563797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აშშ</w:t>
            </w:r>
          </w:p>
        </w:tc>
        <w:tc>
          <w:tcPr>
            <w:tcW w:w="992" w:type="dxa"/>
          </w:tcPr>
          <w:p w14:paraId="11BA22A0" w14:textId="339F46B7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CCF068E" w14:textId="0068B06D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1D3B326E" w14:textId="0499BCB3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30A6C53" w14:textId="3EABB92F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1EA4EC5" w14:textId="1A680E13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4DCB243" w14:textId="69C778A4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31AF84E4" w14:textId="67056105" w:rsidR="00B836EB" w:rsidRPr="00D27703" w:rsidRDefault="009A0F52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lang w:val="en-US"/>
              </w:rPr>
              <w:t>Johnson &amp; Johnson</w:t>
            </w:r>
          </w:p>
        </w:tc>
      </w:tr>
      <w:tr w:rsidR="00B836EB" w14:paraId="01CAE96E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914526D" w14:textId="5FE24C70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ახალი ზელანდია</w:t>
            </w:r>
          </w:p>
        </w:tc>
        <w:tc>
          <w:tcPr>
            <w:tcW w:w="992" w:type="dxa"/>
          </w:tcPr>
          <w:p w14:paraId="2BAAF026" w14:textId="079B57C8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7CB9F65" w14:textId="60EB22CF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9AECB5F" w14:textId="18E8C000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1BCC1A6" w14:textId="5CEC1EDB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15DB161" w14:textId="24F0B902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26AB94C" w14:textId="246C0E86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13536809" w14:textId="7BD698A9" w:rsidR="00B836EB" w:rsidRPr="00D27703" w:rsidRDefault="009E444D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54EBAA2E" w14:textId="24C0DC42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0AE1E9" w14:textId="7DF28F42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ბაჰრეინი</w:t>
            </w:r>
          </w:p>
        </w:tc>
        <w:tc>
          <w:tcPr>
            <w:tcW w:w="992" w:type="dxa"/>
          </w:tcPr>
          <w:p w14:paraId="04899F16" w14:textId="7D3F741D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EA8B0A3" w14:textId="37A33A3D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88D260C" w14:textId="5D6EC319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9F9631D" w14:textId="6968AF24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5C37AF" w14:textId="06567B2B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3FD120FF" w14:textId="3EBFD333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15CE8328" w14:textId="72AB964F" w:rsidR="00B836EB" w:rsidRPr="00D27703" w:rsidRDefault="009E444D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27ACA91B" w14:textId="2E8A4B55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D808D1E" w14:textId="6E453322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ბანგლადეში</w:t>
            </w:r>
          </w:p>
        </w:tc>
        <w:tc>
          <w:tcPr>
            <w:tcW w:w="992" w:type="dxa"/>
          </w:tcPr>
          <w:p w14:paraId="67B27856" w14:textId="77B9A5BB" w:rsidR="00B836EB" w:rsidRPr="00F01569" w:rsidRDefault="00E330DF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4BF5D2C" w14:textId="0BFE043D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C664A55" w14:textId="6FC77F42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B3E878D" w14:textId="7013F462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8E322FC" w14:textId="41F64DDB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CC1F3A4" w14:textId="6075EBDE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A78BF65" w14:textId="3BB24BE9" w:rsidR="00B836EB" w:rsidRPr="00D27703" w:rsidRDefault="009E444D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6949F83E" w14:textId="55532C0E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E03213" w14:textId="1760F578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ბელარუსია</w:t>
            </w:r>
          </w:p>
        </w:tc>
        <w:tc>
          <w:tcPr>
            <w:tcW w:w="992" w:type="dxa"/>
          </w:tcPr>
          <w:p w14:paraId="24EDBE66" w14:textId="2817F15E" w:rsidR="00B836EB" w:rsidRPr="00F01569" w:rsidRDefault="00E330DF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FAE0B12" w14:textId="2AF555FA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EB9E55" w14:textId="341A707B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4261932" w14:textId="48933A8E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4A13F5F" w14:textId="7DB5C07A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7908FFCB" w14:textId="26E67E8A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72CDEEEC" w14:textId="4217032F" w:rsidR="00B836EB" w:rsidRPr="00D27703" w:rsidRDefault="009E444D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6BC23681" w14:textId="6153CBC5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5C55922" w14:textId="345B1333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ბელგია</w:t>
            </w:r>
          </w:p>
        </w:tc>
        <w:tc>
          <w:tcPr>
            <w:tcW w:w="992" w:type="dxa"/>
          </w:tcPr>
          <w:p w14:paraId="0EF95BCD" w14:textId="24FC5DF3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F4370E9" w14:textId="00AD05A1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294F5F48" w14:textId="08BD9682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5070F51" w14:textId="43E46233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AE37F2D" w14:textId="2B981539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492B8A3" w14:textId="0472E542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6BD1E1B" w14:textId="07E1FE3D" w:rsidR="00B836EB" w:rsidRPr="00D27703" w:rsidRDefault="009E444D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3FDBD31B" w14:textId="0038CDFA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B1E548" w14:textId="7B092A59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ბოლივია</w:t>
            </w:r>
          </w:p>
        </w:tc>
        <w:tc>
          <w:tcPr>
            <w:tcW w:w="992" w:type="dxa"/>
          </w:tcPr>
          <w:p w14:paraId="07B5BCB9" w14:textId="3993757F" w:rsidR="00B836EB" w:rsidRPr="00F01569" w:rsidRDefault="00E330DF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215B635" w14:textId="3B07A8AD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5FC0783" w14:textId="2FDECDA4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0B91AE2" w14:textId="1183C96C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8493854" w14:textId="68E66528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6C02BB64" w14:textId="07D2FA99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1E428CF8" w14:textId="03E32DAD" w:rsidR="00B836EB" w:rsidRPr="00D27703" w:rsidRDefault="009E444D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451FAFC9" w14:textId="7A26D2D2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3E7C50" w14:textId="7BC78EEB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ბრაზილია</w:t>
            </w:r>
          </w:p>
        </w:tc>
        <w:tc>
          <w:tcPr>
            <w:tcW w:w="992" w:type="dxa"/>
          </w:tcPr>
          <w:p w14:paraId="4B33EA2B" w14:textId="690F5483" w:rsidR="00B836EB" w:rsidRPr="00F01569" w:rsidRDefault="00E330DF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1AB5D0C" w14:textId="78EF4D29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61D5EA4" w14:textId="69C3AE3C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FC485C7" w14:textId="1300138F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14D1914" w14:textId="0F700A05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5C802C8" w14:textId="583D197D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3E72AA84" w14:textId="2D3998E3" w:rsidR="00B836EB" w:rsidRPr="00D27703" w:rsidRDefault="009E444D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D27703">
              <w:rPr>
                <w:lang w:val="en-US"/>
              </w:rPr>
              <w:t>Covaxin</w:t>
            </w:r>
            <w:proofErr w:type="spellEnd"/>
          </w:p>
        </w:tc>
      </w:tr>
      <w:tr w:rsidR="00B836EB" w14:paraId="117F1313" w14:textId="500456E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BA798E5" w14:textId="7DC4EE83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ბულგარეთი</w:t>
            </w:r>
          </w:p>
        </w:tc>
        <w:tc>
          <w:tcPr>
            <w:tcW w:w="992" w:type="dxa"/>
          </w:tcPr>
          <w:p w14:paraId="17A17218" w14:textId="04FB0DAD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7A2C196" w14:textId="2E484638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29E95A2E" w14:textId="25BA97CE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8356382" w14:textId="46000990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3377966" w14:textId="0A7BA9CA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2390B9A" w14:textId="452D6101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5186CAA9" w14:textId="3D5BEC36" w:rsidR="00B836EB" w:rsidRPr="00D27703" w:rsidRDefault="009E444D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76235C01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4C1AB63" w14:textId="0857706F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გაერთიანებული არაბთა ემირატები</w:t>
            </w:r>
          </w:p>
        </w:tc>
        <w:tc>
          <w:tcPr>
            <w:tcW w:w="992" w:type="dxa"/>
          </w:tcPr>
          <w:p w14:paraId="44D8F923" w14:textId="1D80F8B1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2DA9D70" w14:textId="1C0F0809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7D6B6D8" w14:textId="77D151C6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331382F" w14:textId="07B414D1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2455A5C" w14:textId="343B10F7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79A85BDA" w14:textId="5906AD45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4AD8B1A1" w14:textId="70320C3A" w:rsidR="00B836EB" w:rsidRPr="00D27703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27703">
              <w:rPr>
                <w:lang w:val="en-US"/>
              </w:rPr>
              <w:t>Sinopharm</w:t>
            </w:r>
            <w:proofErr w:type="spellEnd"/>
            <w:r w:rsidRPr="00D27703">
              <w:rPr>
                <w:lang w:val="en-US"/>
              </w:rPr>
              <w:t>/Wuhan</w:t>
            </w:r>
          </w:p>
        </w:tc>
      </w:tr>
      <w:tr w:rsidR="00B836EB" w14:paraId="4C47C65C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070833" w14:textId="65F4259C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გაერთიანებული სამეფო</w:t>
            </w:r>
          </w:p>
        </w:tc>
        <w:tc>
          <w:tcPr>
            <w:tcW w:w="992" w:type="dxa"/>
          </w:tcPr>
          <w:p w14:paraId="36D28457" w14:textId="6253C2A9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52BC217" w14:textId="1801E731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AC1C6F2" w14:textId="425FCA4D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6F9FC8B" w14:textId="228F5DB6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F5A370A" w14:textId="710AC30A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2FE4C9B" w14:textId="44E9521D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0CDA535" w14:textId="0A81AD76" w:rsidR="00B836EB" w:rsidRPr="00D27703" w:rsidRDefault="009E444D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1BF41D14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15D99D" w14:textId="66E4FDA8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გერმანია</w:t>
            </w:r>
          </w:p>
        </w:tc>
        <w:tc>
          <w:tcPr>
            <w:tcW w:w="992" w:type="dxa"/>
          </w:tcPr>
          <w:p w14:paraId="524A1188" w14:textId="79E412DC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E8F82C4" w14:textId="3DB4734A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62989CC7" w14:textId="4EB7B0FA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3C356A3" w14:textId="1416D6FB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7DF649C" w14:textId="4B420CDC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02393C1" w14:textId="3FF43E2C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4FE84035" w14:textId="2BE8332D" w:rsidR="00B836EB" w:rsidRPr="00D27703" w:rsidRDefault="009E444D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4D5CEF24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32497F" w14:textId="60A6E760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გვატემალა</w:t>
            </w:r>
          </w:p>
        </w:tc>
        <w:tc>
          <w:tcPr>
            <w:tcW w:w="992" w:type="dxa"/>
          </w:tcPr>
          <w:p w14:paraId="1D3A5D03" w14:textId="0C2A1B75" w:rsidR="00B836EB" w:rsidRPr="00F01569" w:rsidRDefault="00E330DF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30F07B1" w14:textId="2D081EFF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2A6F5B4" w14:textId="2B99F5CE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A2CE383" w14:textId="7E07430F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72112B9" w14:textId="399D8A29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AD81FE5" w14:textId="413A61CB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404C621E" w14:textId="421CFE38" w:rsidR="00B836EB" w:rsidRPr="00D27703" w:rsidRDefault="009E444D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4167B8D4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4F148B" w14:textId="2B554F5B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გრენლანდია</w:t>
            </w:r>
          </w:p>
        </w:tc>
        <w:tc>
          <w:tcPr>
            <w:tcW w:w="992" w:type="dxa"/>
          </w:tcPr>
          <w:p w14:paraId="51D3D184" w14:textId="02D22749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619978F" w14:textId="1CB6D4A2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ED82FC0" w14:textId="4C779928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6ACBAAF" w14:textId="233B6BA6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B828E8F" w14:textId="6BCA0BFA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AA3EC9F" w14:textId="77C678D7" w:rsidR="00B836EB" w:rsidRPr="00F01569" w:rsidRDefault="00776EAA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DB98673" w14:textId="6D517652" w:rsidR="00B836EB" w:rsidRPr="00D27703" w:rsidRDefault="009E444D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12A4C020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C32A23" w14:textId="6EE6C530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დანია</w:t>
            </w:r>
          </w:p>
        </w:tc>
        <w:tc>
          <w:tcPr>
            <w:tcW w:w="992" w:type="dxa"/>
          </w:tcPr>
          <w:p w14:paraId="1C343B50" w14:textId="2627BCCC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AD42130" w14:textId="5D82A969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5709FFF5" w14:textId="2EC07688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5AD4BD2" w14:textId="28900E75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4428DC1" w14:textId="39876A2F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845167C" w14:textId="1B015216" w:rsidR="00B836EB" w:rsidRPr="00F01569" w:rsidRDefault="00776EAA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D7C3FB5" w14:textId="693508AB" w:rsidR="00B836EB" w:rsidRPr="00D27703" w:rsidRDefault="009E444D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3C7B2676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56B3609" w14:textId="78AA1009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დომინიკა</w:t>
            </w:r>
          </w:p>
        </w:tc>
        <w:tc>
          <w:tcPr>
            <w:tcW w:w="992" w:type="dxa"/>
          </w:tcPr>
          <w:p w14:paraId="0D04C9C5" w14:textId="466C0044" w:rsidR="00B836EB" w:rsidRPr="00F01569" w:rsidRDefault="00E330DF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BBD3D85" w14:textId="7FAF1AF6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5EDDE92" w14:textId="2F3622E1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1807D47" w14:textId="7BAA4A9F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952D88B" w14:textId="4EFDAE52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A4A3ED5" w14:textId="751563AA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D5978C7" w14:textId="329A8314" w:rsidR="00B836EB" w:rsidRPr="00D27703" w:rsidRDefault="009E444D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52E45BA1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2A4351" w14:textId="24E8A7F1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ეგვიპტე</w:t>
            </w:r>
          </w:p>
        </w:tc>
        <w:tc>
          <w:tcPr>
            <w:tcW w:w="992" w:type="dxa"/>
          </w:tcPr>
          <w:p w14:paraId="296528A9" w14:textId="3853035A" w:rsidR="00B836EB" w:rsidRPr="00F01569" w:rsidRDefault="00E330DF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8D591A5" w14:textId="521BBD5D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4412DE7" w14:textId="0D3C8AFB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38AAAEA" w14:textId="66AC6BC4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9CBD576" w14:textId="0ACAF682" w:rsidR="00B836EB" w:rsidRPr="00F01569" w:rsidRDefault="00AA5727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0BC8CC7D" w14:textId="0C7F9D39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315988DD" w14:textId="6CA372E0" w:rsidR="00B836EB" w:rsidRPr="00D27703" w:rsidRDefault="009E444D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329057C7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D9C050F" w14:textId="4B35CDDE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ეკუადორი</w:t>
            </w:r>
          </w:p>
        </w:tc>
        <w:tc>
          <w:tcPr>
            <w:tcW w:w="992" w:type="dxa"/>
          </w:tcPr>
          <w:p w14:paraId="057AD490" w14:textId="6A2799E2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439500F" w14:textId="001C7B87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5C12EAF" w14:textId="5FBB932D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F28C43E" w14:textId="3A0A1AD6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9FD621A" w14:textId="30B464C7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8A968A5" w14:textId="138AE263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56205CAE" w14:textId="557AE8B2" w:rsidR="00B836EB" w:rsidRPr="00D27703" w:rsidRDefault="009E444D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032ED742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843B97" w14:textId="2071D243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ესტონეთი</w:t>
            </w:r>
          </w:p>
        </w:tc>
        <w:tc>
          <w:tcPr>
            <w:tcW w:w="992" w:type="dxa"/>
          </w:tcPr>
          <w:p w14:paraId="79EF08F0" w14:textId="499C1FB8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236CD68" w14:textId="0579A559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6B72F01C" w14:textId="26C8F018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3726081" w14:textId="2F54C541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5ECF1EE" w14:textId="062182CD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E0A12BA" w14:textId="75EBBAEA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537D2630" w14:textId="673DCF1A" w:rsidR="00B836EB" w:rsidRPr="00D27703" w:rsidRDefault="009E444D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5E1C6179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EFFBBDC" w14:textId="2E52A4E0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ესპანეთი</w:t>
            </w:r>
          </w:p>
        </w:tc>
        <w:tc>
          <w:tcPr>
            <w:tcW w:w="992" w:type="dxa"/>
          </w:tcPr>
          <w:p w14:paraId="43D6CF99" w14:textId="338BE67D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2E6F0E8" w14:textId="19161D55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10B4C355" w14:textId="00700A25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1B65F90" w14:textId="62202468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C7CB5F5" w14:textId="4EA39DDB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75D5D02" w14:textId="6F6E9379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3C600E1" w14:textId="493EFB80" w:rsidR="00B836EB" w:rsidRPr="00D27703" w:rsidRDefault="009E444D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59274E89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ED590C9" w14:textId="774962B5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ვენესუელა</w:t>
            </w:r>
          </w:p>
        </w:tc>
        <w:tc>
          <w:tcPr>
            <w:tcW w:w="992" w:type="dxa"/>
          </w:tcPr>
          <w:p w14:paraId="2220566C" w14:textId="63B45495" w:rsidR="00B836EB" w:rsidRPr="00F01569" w:rsidRDefault="00E330DF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DA03A2F" w14:textId="5DEA7B45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6E50BD2" w14:textId="0787DDBC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C033C98" w14:textId="02523CB5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3389418" w14:textId="555CA905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3C9646BE" w14:textId="27EFA334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C24C1AF" w14:textId="10433C4A" w:rsidR="00B836EB" w:rsidRPr="00D27703" w:rsidRDefault="009E444D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0F2FF2EC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83001B" w14:textId="70115866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ზიმბაბვე</w:t>
            </w:r>
          </w:p>
        </w:tc>
        <w:tc>
          <w:tcPr>
            <w:tcW w:w="992" w:type="dxa"/>
          </w:tcPr>
          <w:p w14:paraId="7EA7D53C" w14:textId="181DBD82" w:rsidR="00B836EB" w:rsidRPr="00F01569" w:rsidRDefault="00E330DF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7AC5F4D" w14:textId="5B40BEF4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AD0D43A" w14:textId="7E108810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86AAB4F" w14:textId="3BD539A0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3AC173" w14:textId="08017AEB" w:rsidR="00B836EB" w:rsidRPr="00F01569" w:rsidRDefault="000045D1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C1C4B1E" w14:textId="64793591" w:rsidR="00B836EB" w:rsidRPr="00F01569" w:rsidRDefault="00B836EB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247A9EEF" w14:textId="7E6C8DBD" w:rsidR="00B836EB" w:rsidRPr="00D27703" w:rsidRDefault="009E444D" w:rsidP="00B83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836EB" w14:paraId="6091E558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FCB044" w14:textId="57218F77" w:rsidR="00B836EB" w:rsidRPr="00D27703" w:rsidRDefault="00B836EB" w:rsidP="00B836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თურქეთი</w:t>
            </w:r>
          </w:p>
        </w:tc>
        <w:tc>
          <w:tcPr>
            <w:tcW w:w="992" w:type="dxa"/>
          </w:tcPr>
          <w:p w14:paraId="2002FA05" w14:textId="47FBF4D9" w:rsidR="00B836EB" w:rsidRPr="00F01569" w:rsidRDefault="00E330DF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D3E5913" w14:textId="6AE5D81C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BEBFDC7" w14:textId="0EA0934D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77386E5" w14:textId="3D89A930" w:rsidR="00B836EB" w:rsidRPr="00F01569" w:rsidRDefault="00B836EB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60AE398" w14:textId="413F9E74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ACA2758" w14:textId="40AEABCC" w:rsidR="00B836EB" w:rsidRPr="00F01569" w:rsidRDefault="000045D1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48542EBD" w14:textId="258687F8" w:rsidR="00B836EB" w:rsidRPr="00D27703" w:rsidRDefault="009E444D" w:rsidP="00B83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854ABA" w14:paraId="4A9AF2B1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A0D8B97" w14:textId="5CF11A72" w:rsidR="00854ABA" w:rsidRPr="00D27703" w:rsidRDefault="00854ABA" w:rsidP="00854ABA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ისლანდია</w:t>
            </w:r>
          </w:p>
        </w:tc>
        <w:tc>
          <w:tcPr>
            <w:tcW w:w="992" w:type="dxa"/>
          </w:tcPr>
          <w:p w14:paraId="74B11078" w14:textId="28906573" w:rsidR="00854ABA" w:rsidRPr="00F01569" w:rsidRDefault="00854ABA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7D1CC18" w14:textId="4690C50B" w:rsidR="00854ABA" w:rsidRPr="00F01569" w:rsidRDefault="00854ABA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568FA256" w14:textId="3AE40FC9" w:rsidR="00854ABA" w:rsidRPr="00F01569" w:rsidRDefault="00854ABA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F53B37A" w14:textId="394D36C7" w:rsidR="00854ABA" w:rsidRPr="00F01569" w:rsidRDefault="000045D1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919414A" w14:textId="623B402A" w:rsidR="00854ABA" w:rsidRPr="00F01569" w:rsidRDefault="000045D1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8EA71EC" w14:textId="16197D3A" w:rsidR="00854ABA" w:rsidRPr="00F01569" w:rsidRDefault="000045D1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52153DB" w14:textId="351AF5C2" w:rsidR="00854ABA" w:rsidRPr="00D27703" w:rsidRDefault="009E444D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854ABA" w14:paraId="5E6163E6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55D4CFD" w14:textId="5A3E7539" w:rsidR="00854ABA" w:rsidRPr="00D27703" w:rsidRDefault="00854ABA" w:rsidP="00854ABA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lastRenderedPageBreak/>
              <w:t>ინდოეთი</w:t>
            </w:r>
          </w:p>
        </w:tc>
        <w:tc>
          <w:tcPr>
            <w:tcW w:w="992" w:type="dxa"/>
          </w:tcPr>
          <w:p w14:paraId="575F53D6" w14:textId="27ED13C2" w:rsidR="00854ABA" w:rsidRPr="00F01569" w:rsidRDefault="00E330DF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F200EFB" w14:textId="5D80A7AC" w:rsidR="00854ABA" w:rsidRPr="00F01569" w:rsidRDefault="000045D1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BEBB603" w14:textId="2923F86E" w:rsidR="00854ABA" w:rsidRPr="00F01569" w:rsidRDefault="00854ABA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CB24A42" w14:textId="2BAD6A58" w:rsidR="00854ABA" w:rsidRPr="00F01569" w:rsidRDefault="000045D1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D7B686" w14:textId="275F9685" w:rsidR="00854ABA" w:rsidRPr="00F01569" w:rsidRDefault="00AA5727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0481DF91" w14:textId="36D58B49" w:rsidR="00854ABA" w:rsidRPr="00F01569" w:rsidRDefault="000045D1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56A6996" w14:textId="63FE5CF0" w:rsidR="00854ABA" w:rsidRPr="00D27703" w:rsidRDefault="00854ABA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D27703">
              <w:rPr>
                <w:lang w:val="en-US"/>
              </w:rPr>
              <w:t>Covaxin</w:t>
            </w:r>
            <w:proofErr w:type="spellEnd"/>
          </w:p>
        </w:tc>
      </w:tr>
      <w:tr w:rsidR="00854ABA" w14:paraId="25E0051B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9426889" w14:textId="3040603E" w:rsidR="00854ABA" w:rsidRPr="00D27703" w:rsidRDefault="00854ABA" w:rsidP="00854ABA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ინდონეზია</w:t>
            </w:r>
          </w:p>
        </w:tc>
        <w:tc>
          <w:tcPr>
            <w:tcW w:w="992" w:type="dxa"/>
          </w:tcPr>
          <w:p w14:paraId="63B144E1" w14:textId="4D1BB4AB" w:rsidR="00854ABA" w:rsidRPr="00F01569" w:rsidRDefault="00E330DF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2AC6845" w14:textId="3DCBF4E0" w:rsidR="00854ABA" w:rsidRPr="00F01569" w:rsidRDefault="000045D1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B28F48F" w14:textId="547DFD02" w:rsidR="00854ABA" w:rsidRPr="00F01569" w:rsidRDefault="000045D1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D3AF573" w14:textId="409AA4F1" w:rsidR="00854ABA" w:rsidRPr="00F01569" w:rsidRDefault="002452BB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9E7455F" w14:textId="30B90A6F" w:rsidR="00854ABA" w:rsidRPr="00F01569" w:rsidRDefault="00854ABA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185D2C73" w14:textId="7FF462D6" w:rsidR="00854ABA" w:rsidRPr="00F01569" w:rsidRDefault="000045D1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497EF093" w14:textId="6652E3F3" w:rsidR="00854ABA" w:rsidRPr="00D27703" w:rsidRDefault="009E444D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854ABA" w14:paraId="7FD62AEE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309E26" w14:textId="45D20AFB" w:rsidR="00854ABA" w:rsidRPr="00D27703" w:rsidRDefault="00854ABA" w:rsidP="00854ABA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ირანი</w:t>
            </w:r>
          </w:p>
        </w:tc>
        <w:tc>
          <w:tcPr>
            <w:tcW w:w="992" w:type="dxa"/>
          </w:tcPr>
          <w:p w14:paraId="4A2FDA44" w14:textId="3AEEF0FE" w:rsidR="00854ABA" w:rsidRPr="00F01569" w:rsidRDefault="00E330DF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8D540F7" w14:textId="2490E46A" w:rsidR="00854ABA" w:rsidRPr="00F01569" w:rsidRDefault="000045D1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82A0A8A" w14:textId="6597875A" w:rsidR="00854ABA" w:rsidRPr="00F01569" w:rsidRDefault="000045D1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FE31C90" w14:textId="01308787" w:rsidR="00854ABA" w:rsidRPr="00F01569" w:rsidRDefault="000045D1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6CB7E47" w14:textId="191E3620" w:rsidR="00854ABA" w:rsidRPr="00F01569" w:rsidRDefault="00AA5727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27B84BF3" w14:textId="25FC240A" w:rsidR="00854ABA" w:rsidRPr="00F01569" w:rsidRDefault="00854ABA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6446812B" w14:textId="54FF59D7" w:rsidR="00854ABA" w:rsidRPr="00D27703" w:rsidRDefault="00854ABA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D27703">
              <w:rPr>
                <w:lang w:val="en-US"/>
              </w:rPr>
              <w:t>Covaxin</w:t>
            </w:r>
            <w:proofErr w:type="spellEnd"/>
          </w:p>
        </w:tc>
      </w:tr>
      <w:tr w:rsidR="00854ABA" w14:paraId="0E4E066D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39E445" w14:textId="63266E83" w:rsidR="00854ABA" w:rsidRPr="00D27703" w:rsidRDefault="00854ABA" w:rsidP="00854ABA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ირლანდია</w:t>
            </w:r>
          </w:p>
        </w:tc>
        <w:tc>
          <w:tcPr>
            <w:tcW w:w="992" w:type="dxa"/>
          </w:tcPr>
          <w:p w14:paraId="05F715FE" w14:textId="546A7686" w:rsidR="00854ABA" w:rsidRPr="00F01569" w:rsidRDefault="00854ABA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3136C77" w14:textId="1351D1D7" w:rsidR="00854ABA" w:rsidRPr="00F01569" w:rsidRDefault="00854ABA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4B34FE1A" w14:textId="44EBF2CE" w:rsidR="00854ABA" w:rsidRPr="00F01569" w:rsidRDefault="00854ABA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B050270" w14:textId="7FF439C3" w:rsidR="00854ABA" w:rsidRPr="00F01569" w:rsidRDefault="000045D1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A3B581C" w14:textId="5758EF64" w:rsidR="00854ABA" w:rsidRPr="00F01569" w:rsidRDefault="000045D1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1AFE058" w14:textId="09E4AB6B" w:rsidR="00854ABA" w:rsidRPr="00F01569" w:rsidRDefault="000045D1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33E7653" w14:textId="14FFBE44" w:rsidR="00854ABA" w:rsidRPr="00D27703" w:rsidRDefault="009E444D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854ABA" w14:paraId="1997361C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5946E2" w14:textId="30C1E9BF" w:rsidR="00854ABA" w:rsidRPr="00D27703" w:rsidRDefault="00854ABA" w:rsidP="00854ABA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ისრაელი</w:t>
            </w:r>
          </w:p>
        </w:tc>
        <w:tc>
          <w:tcPr>
            <w:tcW w:w="992" w:type="dxa"/>
          </w:tcPr>
          <w:p w14:paraId="1601414B" w14:textId="1A3112C4" w:rsidR="00854ABA" w:rsidRPr="00F01569" w:rsidRDefault="00854ABA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9329105" w14:textId="67A99C87" w:rsidR="00854ABA" w:rsidRPr="00F01569" w:rsidRDefault="00854ABA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33F23E31" w14:textId="33F41A9C" w:rsidR="00854ABA" w:rsidRPr="00F01569" w:rsidRDefault="000045D1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F489B50" w14:textId="36ADA159" w:rsidR="00854ABA" w:rsidRPr="00F01569" w:rsidRDefault="000045D1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F7B5122" w14:textId="3E13A288" w:rsidR="00854ABA" w:rsidRPr="00F01569" w:rsidRDefault="000045D1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8E475F8" w14:textId="124F1506" w:rsidR="00854ABA" w:rsidRPr="00F01569" w:rsidRDefault="000045D1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7F8E8527" w14:textId="6FC0E361" w:rsidR="00854ABA" w:rsidRPr="00D27703" w:rsidRDefault="009E444D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854ABA" w14:paraId="74CDC1F8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28F357" w14:textId="70E6D124" w:rsidR="00854ABA" w:rsidRPr="00D27703" w:rsidRDefault="00854ABA" w:rsidP="00854ABA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იტალია</w:t>
            </w:r>
          </w:p>
        </w:tc>
        <w:tc>
          <w:tcPr>
            <w:tcW w:w="992" w:type="dxa"/>
          </w:tcPr>
          <w:p w14:paraId="7C0C41D2" w14:textId="61F233B5" w:rsidR="00854ABA" w:rsidRPr="00F01569" w:rsidRDefault="00854ABA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D4600BC" w14:textId="23B69AAC" w:rsidR="00854ABA" w:rsidRPr="00F01569" w:rsidRDefault="00854ABA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0197186C" w14:textId="2F586BE3" w:rsidR="00854ABA" w:rsidRPr="00F01569" w:rsidRDefault="00854ABA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C909EE9" w14:textId="7EE643F1" w:rsidR="00854ABA" w:rsidRPr="00F01569" w:rsidRDefault="000045D1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32D028C" w14:textId="62C980AA" w:rsidR="00854ABA" w:rsidRPr="00F01569" w:rsidRDefault="000045D1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0C79927" w14:textId="6759ED5F" w:rsidR="00854ABA" w:rsidRPr="00F01569" w:rsidRDefault="000045D1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44B38C6" w14:textId="55DFECE2" w:rsidR="00854ABA" w:rsidRPr="00D27703" w:rsidRDefault="009E444D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854ABA" w14:paraId="7E0DEE69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973039" w14:textId="6E2FAE2A" w:rsidR="00854ABA" w:rsidRPr="00D27703" w:rsidRDefault="00854ABA" w:rsidP="00854ABA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იაპონია</w:t>
            </w:r>
          </w:p>
        </w:tc>
        <w:tc>
          <w:tcPr>
            <w:tcW w:w="992" w:type="dxa"/>
          </w:tcPr>
          <w:p w14:paraId="0721A831" w14:textId="36398522" w:rsidR="00854ABA" w:rsidRPr="00F01569" w:rsidRDefault="00854ABA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13E1D18" w14:textId="3F3B47BF" w:rsidR="00854ABA" w:rsidRPr="00F01569" w:rsidRDefault="00F976D9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6EEEB86" w14:textId="380939F2" w:rsidR="00854ABA" w:rsidRPr="00F01569" w:rsidRDefault="00F976D9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6CE4A4D" w14:textId="0CEE00EA" w:rsidR="00854ABA" w:rsidRPr="00F01569" w:rsidRDefault="00F976D9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3051E8D" w14:textId="751AF99E" w:rsidR="00854ABA" w:rsidRPr="00F01569" w:rsidRDefault="00F976D9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671D200" w14:textId="1B464C54" w:rsidR="00854ABA" w:rsidRPr="00F01569" w:rsidRDefault="00F976D9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37922E7B" w14:textId="0A8F82A1" w:rsidR="00854ABA" w:rsidRPr="00D27703" w:rsidRDefault="009E444D" w:rsidP="0085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854ABA" w14:paraId="5CE0DEF8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7802827" w14:textId="57B53733" w:rsidR="00854ABA" w:rsidRPr="00D27703" w:rsidRDefault="00854ABA" w:rsidP="00854ABA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იორდანია</w:t>
            </w:r>
          </w:p>
        </w:tc>
        <w:tc>
          <w:tcPr>
            <w:tcW w:w="992" w:type="dxa"/>
          </w:tcPr>
          <w:p w14:paraId="0A9163AC" w14:textId="5E13952A" w:rsidR="00854ABA" w:rsidRPr="00F01569" w:rsidRDefault="00854ABA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6A96892" w14:textId="603C3430" w:rsidR="00854ABA" w:rsidRPr="00F01569" w:rsidRDefault="00F976D9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C1D6D86" w14:textId="5500C14B" w:rsidR="00854ABA" w:rsidRPr="00F01569" w:rsidRDefault="00F976D9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FFF8844" w14:textId="21A5BA25" w:rsidR="00854ABA" w:rsidRPr="00F01569" w:rsidRDefault="00F976D9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1B89B3" w14:textId="26E71A83" w:rsidR="00854ABA" w:rsidRPr="00F01569" w:rsidRDefault="00F976D9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07E4836" w14:textId="304E4CD7" w:rsidR="00854ABA" w:rsidRPr="00F01569" w:rsidRDefault="00854ABA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07A4EB3B" w14:textId="3E931CE0" w:rsidR="00854ABA" w:rsidRPr="00D27703" w:rsidRDefault="009E444D" w:rsidP="00854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E014B" w14:paraId="7ACD7C72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9D6BFB3" w14:textId="02C8598C" w:rsidR="00BE014B" w:rsidRPr="00D27703" w:rsidRDefault="00BE014B" w:rsidP="00BE014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კამბოჯია</w:t>
            </w:r>
          </w:p>
        </w:tc>
        <w:tc>
          <w:tcPr>
            <w:tcW w:w="992" w:type="dxa"/>
          </w:tcPr>
          <w:p w14:paraId="7E8511E3" w14:textId="7BA01730" w:rsidR="00BE014B" w:rsidRPr="00F01569" w:rsidRDefault="00E330DF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20C25D4" w14:textId="00AB126C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714134D" w14:textId="190445EC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8355049" w14:textId="6DE2EC90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055B5CB" w14:textId="0AF0CDAA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32C0C35" w14:textId="5B1FF3D3" w:rsidR="00BE014B" w:rsidRPr="00F01569" w:rsidRDefault="00BE014B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4BDD1077" w14:textId="2CC794AB" w:rsidR="00BE014B" w:rsidRPr="00D27703" w:rsidRDefault="009E444D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E014B" w14:paraId="6DB72ABD" w14:textId="3B19A111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0B8AC1" w14:textId="73D9C6AF" w:rsidR="00BE014B" w:rsidRPr="00D27703" w:rsidRDefault="00BE014B" w:rsidP="00BE014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კანადა</w:t>
            </w:r>
          </w:p>
        </w:tc>
        <w:tc>
          <w:tcPr>
            <w:tcW w:w="992" w:type="dxa"/>
          </w:tcPr>
          <w:p w14:paraId="7CD6F98F" w14:textId="04A82109" w:rsidR="00BE014B" w:rsidRPr="00F01569" w:rsidRDefault="00BE014B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E30CEEB" w14:textId="41081AAE" w:rsidR="00BE014B" w:rsidRPr="00F01569" w:rsidRDefault="00BE014B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117F03D6" w14:textId="53FB22E2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50C2E2E3" w14:textId="359A4953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F86F681" w14:textId="530E9D77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7AB9D1C" w14:textId="72EAE9CF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144E3B0" w14:textId="7F9F2F0C" w:rsidR="00BE014B" w:rsidRPr="00D27703" w:rsidRDefault="009E444D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E014B" w14:paraId="2C33B48E" w14:textId="2ADFC0F6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EF8042" w14:textId="31E3CA59" w:rsidR="00BE014B" w:rsidRPr="00D27703" w:rsidRDefault="00BE014B" w:rsidP="00BE014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კოლუმბია</w:t>
            </w:r>
          </w:p>
        </w:tc>
        <w:tc>
          <w:tcPr>
            <w:tcW w:w="992" w:type="dxa"/>
          </w:tcPr>
          <w:p w14:paraId="4D183785" w14:textId="0AD67600" w:rsidR="00BE014B" w:rsidRPr="00F01569" w:rsidRDefault="00BE014B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516D776" w14:textId="3DEE6BD0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854A428" w14:textId="64762220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22A67A6" w14:textId="6079A448" w:rsidR="00BE014B" w:rsidRPr="00F01569" w:rsidRDefault="00BE014B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FD73254" w14:textId="72BBCC99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DB2B76D" w14:textId="3918AC5A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4FA7807" w14:textId="462428ED" w:rsidR="00BE014B" w:rsidRPr="00D27703" w:rsidRDefault="009E444D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E014B" w14:paraId="508EF785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6BA27C" w14:textId="35A04688" w:rsidR="00BE014B" w:rsidRPr="00D27703" w:rsidRDefault="00BE014B" w:rsidP="00BE014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კოსტა რიკა</w:t>
            </w:r>
          </w:p>
        </w:tc>
        <w:tc>
          <w:tcPr>
            <w:tcW w:w="992" w:type="dxa"/>
          </w:tcPr>
          <w:p w14:paraId="51452153" w14:textId="60BEAA38" w:rsidR="00BE014B" w:rsidRPr="00F01569" w:rsidRDefault="00BE014B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41C426B" w14:textId="7EAAD557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B2CF7D6" w14:textId="2308004A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72C94F8" w14:textId="7AFBB61D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45BF232" w14:textId="29A4F8C7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66724A1" w14:textId="0298BFCE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4DF524BB" w14:textId="7442DDFE" w:rsidR="00BE014B" w:rsidRPr="00D27703" w:rsidRDefault="009E444D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E014B" w14:paraId="5039B37F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7BA7E23" w14:textId="56BADEB8" w:rsidR="00BE014B" w:rsidRPr="00D27703" w:rsidRDefault="00BE014B" w:rsidP="00BE014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კიპროსი</w:t>
            </w:r>
          </w:p>
        </w:tc>
        <w:tc>
          <w:tcPr>
            <w:tcW w:w="992" w:type="dxa"/>
          </w:tcPr>
          <w:p w14:paraId="6885CFDE" w14:textId="59FF1C46" w:rsidR="00BE014B" w:rsidRPr="00F01569" w:rsidRDefault="00BE014B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084589A" w14:textId="7AC75A8C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0480DCC" w14:textId="04FFE87C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7461CB6" w14:textId="258662E2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7C81E2D" w14:textId="38E8B30D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33A76B2" w14:textId="390303C6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34E8560B" w14:textId="444B4791" w:rsidR="00BE014B" w:rsidRPr="00D27703" w:rsidRDefault="009E444D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E014B" w14:paraId="7D3CDCA2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0A7DE43" w14:textId="1149B08B" w:rsidR="00BE014B" w:rsidRPr="00D27703" w:rsidRDefault="00BE014B" w:rsidP="00BE014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ლატვია</w:t>
            </w:r>
          </w:p>
        </w:tc>
        <w:tc>
          <w:tcPr>
            <w:tcW w:w="992" w:type="dxa"/>
          </w:tcPr>
          <w:p w14:paraId="530682FC" w14:textId="53068F0D" w:rsidR="00BE014B" w:rsidRPr="00F01569" w:rsidRDefault="00BE014B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BDBE4CC" w14:textId="3DAAB54C" w:rsidR="00BE014B" w:rsidRPr="00F01569" w:rsidRDefault="00BE014B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7DE54B7C" w14:textId="58F9FAB3" w:rsidR="00BE014B" w:rsidRPr="00F01569" w:rsidRDefault="00BE014B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08DCB08" w14:textId="2F8C44C1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AB2DCD4" w14:textId="5229BB82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ACE9292" w14:textId="43B496C7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1D9D7E8" w14:textId="17056DE7" w:rsidR="00BE014B" w:rsidRPr="00D27703" w:rsidRDefault="009E444D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E014B" w14:paraId="4F894006" w14:textId="77DB9C80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C44A391" w14:textId="091399EB" w:rsidR="00BE014B" w:rsidRPr="00D27703" w:rsidRDefault="00BE014B" w:rsidP="00BE014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ლიბანი</w:t>
            </w:r>
          </w:p>
        </w:tc>
        <w:tc>
          <w:tcPr>
            <w:tcW w:w="992" w:type="dxa"/>
          </w:tcPr>
          <w:p w14:paraId="7043E18B" w14:textId="50048DA2" w:rsidR="00BE014B" w:rsidRPr="00F01569" w:rsidRDefault="00BE014B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73072AD" w14:textId="4CE99516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8AC4751" w14:textId="6886891A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438BAA1" w14:textId="333672FC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F5C81EA" w14:textId="260B5680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AF0B62B" w14:textId="02092497" w:rsidR="00BE014B" w:rsidRPr="00F01569" w:rsidRDefault="00F976D9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3F0FD349" w14:textId="465603CB" w:rsidR="00BE014B" w:rsidRPr="00D27703" w:rsidRDefault="009E444D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E014B" w14:paraId="2E08ABD6" w14:textId="5D2969DD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6A0D0E" w14:textId="59BA61B5" w:rsidR="00BE014B" w:rsidRPr="00D27703" w:rsidRDefault="00BE014B" w:rsidP="00BE014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ლიხტენშტეინი</w:t>
            </w:r>
          </w:p>
        </w:tc>
        <w:tc>
          <w:tcPr>
            <w:tcW w:w="992" w:type="dxa"/>
          </w:tcPr>
          <w:p w14:paraId="0283BAFD" w14:textId="5E433F22" w:rsidR="00BE014B" w:rsidRPr="00F01569" w:rsidRDefault="00BE014B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2A93AC7" w14:textId="54D9E826" w:rsidR="00BE014B" w:rsidRPr="00F01569" w:rsidRDefault="00BE014B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0140A6FC" w14:textId="0C46A329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852CEFD" w14:textId="4AE60357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BDB97A8" w14:textId="1C023209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255BB8C" w14:textId="33CD7598" w:rsidR="00BE014B" w:rsidRPr="00F01569" w:rsidRDefault="00F976D9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18CF3507" w14:textId="6CDC6A85" w:rsidR="00BE014B" w:rsidRPr="00D27703" w:rsidRDefault="009E444D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E014B" w14:paraId="4A86D47E" w14:textId="60321D0A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DB4F4E5" w14:textId="46ABC9C1" w:rsidR="00BE014B" w:rsidRPr="00D27703" w:rsidRDefault="00BE014B" w:rsidP="00BE014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ლიეტუვა</w:t>
            </w:r>
          </w:p>
        </w:tc>
        <w:tc>
          <w:tcPr>
            <w:tcW w:w="992" w:type="dxa"/>
          </w:tcPr>
          <w:p w14:paraId="4223B43E" w14:textId="4767C3AF" w:rsidR="00BE014B" w:rsidRPr="00F01569" w:rsidRDefault="00BE014B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EC695CF" w14:textId="72CAF0DB" w:rsidR="00BE014B" w:rsidRPr="00F01569" w:rsidRDefault="00BE014B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536E2248" w14:textId="6E86EB0E" w:rsidR="00BE014B" w:rsidRPr="00F01569" w:rsidRDefault="00BE014B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325F634" w14:textId="566AF25B" w:rsidR="00BE014B" w:rsidRPr="00F01569" w:rsidRDefault="00776F8F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262FEC3" w14:textId="518678C2" w:rsidR="00BE014B" w:rsidRPr="00F01569" w:rsidRDefault="00776F8F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AD43876" w14:textId="22AF63C9" w:rsidR="00BE014B" w:rsidRPr="00F01569" w:rsidRDefault="00776F8F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7D90FE1E" w14:textId="5EEF601C" w:rsidR="00BE014B" w:rsidRPr="00D27703" w:rsidRDefault="009E444D" w:rsidP="00BE01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BE014B" w14:paraId="0F83F57E" w14:textId="3E71BDE8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192C682" w14:textId="48F46EB2" w:rsidR="00BE014B" w:rsidRPr="00D27703" w:rsidRDefault="00BE014B" w:rsidP="00BE014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ლუქსემბურგი</w:t>
            </w:r>
          </w:p>
        </w:tc>
        <w:tc>
          <w:tcPr>
            <w:tcW w:w="992" w:type="dxa"/>
          </w:tcPr>
          <w:p w14:paraId="66D62FCF" w14:textId="6447912E" w:rsidR="00BE014B" w:rsidRPr="00F01569" w:rsidRDefault="00BE014B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1F4F616" w14:textId="28998ED8" w:rsidR="00BE014B" w:rsidRPr="00F01569" w:rsidRDefault="00BE014B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6D917452" w14:textId="2609B4FC" w:rsidR="00BE014B" w:rsidRPr="00F01569" w:rsidRDefault="00BE014B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0284ED3" w14:textId="5FE0634D" w:rsidR="00BE014B" w:rsidRPr="00F01569" w:rsidRDefault="00776F8F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564B0D2" w14:textId="2ED39480" w:rsidR="00BE014B" w:rsidRPr="00F01569" w:rsidRDefault="00776F8F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2E03CA9" w14:textId="3D93E585" w:rsidR="00BE014B" w:rsidRPr="00F01569" w:rsidRDefault="00776F8F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C8F549C" w14:textId="2046EC50" w:rsidR="00BE014B" w:rsidRPr="00D27703" w:rsidRDefault="009E444D" w:rsidP="00BE01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320C4145" w14:textId="11ADAAA8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46D8AEF" w14:textId="395BA583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მაკაო</w:t>
            </w:r>
          </w:p>
        </w:tc>
        <w:tc>
          <w:tcPr>
            <w:tcW w:w="992" w:type="dxa"/>
          </w:tcPr>
          <w:p w14:paraId="0977DA74" w14:textId="47A68140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044FA2" w14:textId="3837A2FF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E6FDC3B" w14:textId="738BE5A8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460B03B" w14:textId="3E4E5D6F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C559762" w14:textId="05F4CD2B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A9D5D2C" w14:textId="0BE96504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4E78BB88" w14:textId="5BE4803E" w:rsidR="002964EB" w:rsidRPr="00D27703" w:rsidRDefault="009E444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68EDFDBC" w14:textId="08BF3BB5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B30B734" w14:textId="13D4F670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მალაიზია</w:t>
            </w:r>
          </w:p>
        </w:tc>
        <w:tc>
          <w:tcPr>
            <w:tcW w:w="992" w:type="dxa"/>
          </w:tcPr>
          <w:p w14:paraId="36F11624" w14:textId="59B954FB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9EB2B28" w14:textId="4974EC93" w:rsidR="002964EB" w:rsidRPr="00F01569" w:rsidRDefault="00776F8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DE393B2" w14:textId="58F660A1" w:rsidR="002964EB" w:rsidRPr="00F01569" w:rsidRDefault="00776F8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EA5D84D" w14:textId="6BFEF210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B67C423" w14:textId="1B6F95DB" w:rsidR="002964EB" w:rsidRPr="00F01569" w:rsidRDefault="00776F8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6DC351A" w14:textId="6DD8EE70" w:rsidR="002964EB" w:rsidRPr="00F01569" w:rsidRDefault="00776F8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B62466D" w14:textId="6818B9CA" w:rsidR="002964EB" w:rsidRPr="00D27703" w:rsidRDefault="009E444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7D42B3F1" w14:textId="74349BDC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2C0698" w14:textId="2E9945AD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მალდივები</w:t>
            </w:r>
          </w:p>
        </w:tc>
        <w:tc>
          <w:tcPr>
            <w:tcW w:w="992" w:type="dxa"/>
          </w:tcPr>
          <w:p w14:paraId="6D059AE8" w14:textId="35FE0E21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B149E23" w14:textId="25A4985F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1034EE7" w14:textId="4912CD0C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6F6B182" w14:textId="5F634AB5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104ADE8" w14:textId="22D4C4FB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B90636A" w14:textId="364037B3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14C4614" w14:textId="179C7079" w:rsidR="002964EB" w:rsidRPr="00D27703" w:rsidRDefault="009E444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5321C3F1" w14:textId="06292A30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FE2DF9" w14:textId="71511EF9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მალტა</w:t>
            </w:r>
          </w:p>
        </w:tc>
        <w:tc>
          <w:tcPr>
            <w:tcW w:w="992" w:type="dxa"/>
          </w:tcPr>
          <w:p w14:paraId="6C366207" w14:textId="501E1996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D5B85B3" w14:textId="36764D9A" w:rsidR="002964EB" w:rsidRPr="00F01569" w:rsidRDefault="00776F8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B252F2B" w14:textId="7EE5F167" w:rsidR="002964EB" w:rsidRPr="00F01569" w:rsidRDefault="00776F8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C8F6A4D" w14:textId="7F35E45B" w:rsidR="002964EB" w:rsidRPr="00F01569" w:rsidRDefault="00776F8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4EDD21B" w14:textId="5795A387" w:rsidR="002964EB" w:rsidRPr="00F01569" w:rsidRDefault="00776F8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2A2303F" w14:textId="58A58EFD" w:rsidR="002964EB" w:rsidRPr="00F01569" w:rsidRDefault="00776F8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74441A66" w14:textId="67938F9F" w:rsidR="002964EB" w:rsidRPr="00D27703" w:rsidRDefault="009E444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6DDABDBF" w14:textId="73B5A646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166D37C" w14:textId="2DC87552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მექსიკა</w:t>
            </w:r>
          </w:p>
        </w:tc>
        <w:tc>
          <w:tcPr>
            <w:tcW w:w="992" w:type="dxa"/>
          </w:tcPr>
          <w:p w14:paraId="70CC1B34" w14:textId="7E499EDB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13C8DF4" w14:textId="208A282D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B1EB16A" w14:textId="6960301E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3891F4E" w14:textId="470EDEE7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82A71D" w14:textId="2A22D2C8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4551CAB8" w14:textId="0B0C2C64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1AB8C8F0" w14:textId="22F9B369" w:rsidR="002964EB" w:rsidRPr="00D27703" w:rsidRDefault="009E444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7544CD14" w14:textId="3E015C41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AE3E78" w14:textId="14FCFB01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მოლდავეთი</w:t>
            </w:r>
          </w:p>
        </w:tc>
        <w:tc>
          <w:tcPr>
            <w:tcW w:w="992" w:type="dxa"/>
          </w:tcPr>
          <w:p w14:paraId="669F8BFC" w14:textId="6E70E5DF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1CA2F45" w14:textId="6F33FB2B" w:rsidR="002964EB" w:rsidRPr="00F01569" w:rsidRDefault="00776F8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484330D" w14:textId="48361F9E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EA72A0E" w14:textId="0FFF0FD4" w:rsidR="002964EB" w:rsidRPr="00F01569" w:rsidRDefault="00776F8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E0514A1" w14:textId="6D0FBE29" w:rsidR="002964EB" w:rsidRPr="00F01569" w:rsidRDefault="00776F8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3F55183" w14:textId="2AA80673" w:rsidR="002964EB" w:rsidRPr="00F01569" w:rsidRDefault="00776F8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553D04E0" w14:textId="60648528" w:rsidR="002964EB" w:rsidRPr="00D27703" w:rsidRDefault="009E444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79C32074" w14:textId="20F0E85C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B7C64D6" w14:textId="5F67CA76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მონაკო</w:t>
            </w:r>
          </w:p>
        </w:tc>
        <w:tc>
          <w:tcPr>
            <w:tcW w:w="992" w:type="dxa"/>
          </w:tcPr>
          <w:p w14:paraId="1E35473A" w14:textId="2BCEF772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CFA3BAE" w14:textId="05505DC6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6D08A95" w14:textId="772A1AC4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9614016" w14:textId="2551C6FE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2E44A30" w14:textId="4D4BC66E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AFEBDC5" w14:textId="6F0840BA" w:rsidR="002964EB" w:rsidRPr="00F01569" w:rsidRDefault="00776F8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550EC2E0" w14:textId="0B552A59" w:rsidR="002964EB" w:rsidRPr="00D27703" w:rsidRDefault="009E444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1107064B" w14:textId="3256E0B8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C105F0" w14:textId="3DF79D71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მონღოლეთი</w:t>
            </w:r>
          </w:p>
        </w:tc>
        <w:tc>
          <w:tcPr>
            <w:tcW w:w="992" w:type="dxa"/>
          </w:tcPr>
          <w:p w14:paraId="010DB583" w14:textId="5F5FC766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5F91698" w14:textId="78717B9A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FE47AF2" w14:textId="349FC433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B4D5DF4" w14:textId="703698BD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21A3189" w14:textId="798E7E0C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1EB0AB7" w14:textId="6A868812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49F7C869" w14:textId="5D465180" w:rsidR="002964EB" w:rsidRPr="00D27703" w:rsidRDefault="009E444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3B111F20" w14:textId="41D04E9E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5892FBB" w14:textId="461F022A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მონტენეგრო</w:t>
            </w:r>
          </w:p>
        </w:tc>
        <w:tc>
          <w:tcPr>
            <w:tcW w:w="992" w:type="dxa"/>
          </w:tcPr>
          <w:p w14:paraId="0AF8F387" w14:textId="7C2F8CB3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BA32650" w14:textId="33AFAC23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D017B3F" w14:textId="756B862A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CE1CB80" w14:textId="77777777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89609" w14:textId="2EA2E71E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74B0BB5F" w14:textId="3A8925EB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6F64E181" w14:textId="6DB18C0A" w:rsidR="002964EB" w:rsidRPr="00D27703" w:rsidRDefault="009E444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3A71897A" w14:textId="0C2C1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AE3F2F5" w14:textId="3A806ECE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მაროკო</w:t>
            </w:r>
          </w:p>
        </w:tc>
        <w:tc>
          <w:tcPr>
            <w:tcW w:w="992" w:type="dxa"/>
          </w:tcPr>
          <w:p w14:paraId="35EC5CCC" w14:textId="4735B66C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7B0D600" w14:textId="16AD7E2C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60E9A4F" w14:textId="6C27A4C8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942C082" w14:textId="18CE1895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0E02612" w14:textId="3591C141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221817D" w14:textId="47E98597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128CDE9D" w14:textId="4F565517" w:rsidR="002964EB" w:rsidRPr="00D27703" w:rsidRDefault="009E444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5923D319" w14:textId="4144F138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0B3EAD5" w14:textId="64B6D249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მიანმარი</w:t>
            </w:r>
          </w:p>
        </w:tc>
        <w:tc>
          <w:tcPr>
            <w:tcW w:w="992" w:type="dxa"/>
          </w:tcPr>
          <w:p w14:paraId="0144BB3C" w14:textId="72A42FC3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4CF95B5" w14:textId="2DD9C6D4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AAF2156" w14:textId="54AE31F4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B9ECAB7" w14:textId="44D155EA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5D3AC96" w14:textId="12BBAC65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490FC17" w14:textId="6EE2ED6F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CE6D66D" w14:textId="39BF4C03" w:rsidR="002964EB" w:rsidRPr="00D27703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27703">
              <w:rPr>
                <w:lang w:val="en-US"/>
              </w:rPr>
              <w:t>Covaxin</w:t>
            </w:r>
            <w:proofErr w:type="spellEnd"/>
          </w:p>
        </w:tc>
      </w:tr>
      <w:tr w:rsidR="002964EB" w14:paraId="7AB4E19D" w14:textId="0EBCC85A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E6650A1" w14:textId="2F682729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მენის კუნძლები</w:t>
            </w:r>
          </w:p>
        </w:tc>
        <w:tc>
          <w:tcPr>
            <w:tcW w:w="992" w:type="dxa"/>
          </w:tcPr>
          <w:p w14:paraId="46301591" w14:textId="49B313EE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DB836CA" w14:textId="50E467CA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F1AB86D" w14:textId="76106899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F220DA8" w14:textId="5E4BEC46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872BA9F" w14:textId="1409531B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46E68BC" w14:textId="44C5DDE4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7B5ED35F" w14:textId="3E0B3E21" w:rsidR="002964EB" w:rsidRPr="00D27703" w:rsidRDefault="009E444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60DC7B50" w14:textId="7FDFE9EE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34ECE4A" w14:textId="40F8FCBF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ნეპალი</w:t>
            </w:r>
          </w:p>
        </w:tc>
        <w:tc>
          <w:tcPr>
            <w:tcW w:w="992" w:type="dxa"/>
          </w:tcPr>
          <w:p w14:paraId="614CE358" w14:textId="1FC94693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DBA877A" w14:textId="656E94B6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7EC2B5C" w14:textId="2B04F80A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A4852AC" w14:textId="21B41153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39859B0" w14:textId="370F19E1" w:rsidR="002964EB" w:rsidRPr="00F01569" w:rsidRDefault="00AA5727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66B5A088" w14:textId="75DE5EAC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4C1E4A91" w14:textId="505B4B9C" w:rsidR="002964EB" w:rsidRPr="00D27703" w:rsidRDefault="009E444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5AD76063" w14:textId="411F874D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5739A36" w14:textId="78AC6A80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ნიდერლანდები</w:t>
            </w:r>
          </w:p>
        </w:tc>
        <w:tc>
          <w:tcPr>
            <w:tcW w:w="992" w:type="dxa"/>
          </w:tcPr>
          <w:p w14:paraId="3EEFBD8B" w14:textId="097EACA9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E47529E" w14:textId="5BB2821F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6139380F" w14:textId="6A36B7F9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B288E48" w14:textId="5FBE4B08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DE76382" w14:textId="1FE44106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0E135BE" w14:textId="53CD4483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71965AA7" w14:textId="59706E6C" w:rsidR="002964EB" w:rsidRPr="00D27703" w:rsidRDefault="009E444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509CB323" w14:textId="3020B606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3998FCF" w14:textId="503CCE0E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ნორვეგია</w:t>
            </w:r>
          </w:p>
        </w:tc>
        <w:tc>
          <w:tcPr>
            <w:tcW w:w="992" w:type="dxa"/>
          </w:tcPr>
          <w:p w14:paraId="052EAEFA" w14:textId="47B9DFEE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AFB57D4" w14:textId="40D07611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476543E5" w14:textId="184E4464" w:rsidR="002964EB" w:rsidRPr="00F01569" w:rsidRDefault="002964EB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2EA86FB" w14:textId="22515E7B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A48F60B" w14:textId="129F50E2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C13D9F0" w14:textId="04CA33DB" w:rsidR="002964EB" w:rsidRPr="00F01569" w:rsidRDefault="00E330DF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71F3D9AC" w14:textId="4948FB67" w:rsidR="002964EB" w:rsidRPr="00D27703" w:rsidRDefault="009E444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2964EB" w14:paraId="09FAF130" w14:textId="32F27EFE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9135BC" w14:textId="3DAF69F2" w:rsidR="002964EB" w:rsidRPr="00D27703" w:rsidRDefault="002964EB" w:rsidP="002964EB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ომანი</w:t>
            </w:r>
          </w:p>
        </w:tc>
        <w:tc>
          <w:tcPr>
            <w:tcW w:w="992" w:type="dxa"/>
          </w:tcPr>
          <w:p w14:paraId="2BC735FB" w14:textId="0D802D2D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46E9901" w14:textId="67FB0117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1F08564" w14:textId="0951DD09" w:rsidR="002964EB" w:rsidRPr="00F01569" w:rsidRDefault="002964EB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33A38DA" w14:textId="26A24FBB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BA3CFD8" w14:textId="04EEAF71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6698AB4" w14:textId="5C33F900" w:rsidR="002964EB" w:rsidRPr="00F01569" w:rsidRDefault="00E330DF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1BFE9225" w14:textId="0FE173EA" w:rsidR="002964EB" w:rsidRPr="00D27703" w:rsidRDefault="009E444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7F19905A" w14:textId="10394DF1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037116" w14:textId="43B1B90F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პაკისტანი</w:t>
            </w:r>
          </w:p>
        </w:tc>
        <w:tc>
          <w:tcPr>
            <w:tcW w:w="992" w:type="dxa"/>
          </w:tcPr>
          <w:p w14:paraId="4E16511A" w14:textId="07A53D43" w:rsidR="009A7C4F" w:rsidRPr="00F01569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93232E1" w14:textId="2365B58F" w:rsidR="009A7C4F" w:rsidRPr="00F01569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5D6B2D0" w14:textId="141543F3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8969D92" w14:textId="3BD97181" w:rsidR="009A7C4F" w:rsidRPr="00F01569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527B2E0" w14:textId="0EDC9068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5F05DDC4" w14:textId="3E9C9210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016FC862" w14:textId="57289526" w:rsidR="009A7C4F" w:rsidRPr="00D27703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1608E8D5" w14:textId="38670310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C3B8F8" w14:textId="179C5711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პანამა</w:t>
            </w:r>
          </w:p>
        </w:tc>
        <w:tc>
          <w:tcPr>
            <w:tcW w:w="992" w:type="dxa"/>
          </w:tcPr>
          <w:p w14:paraId="799BC7B3" w14:textId="63C4E630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8491469" w14:textId="0FF2FF80" w:rsidR="009A7C4F" w:rsidRPr="00F01569" w:rsidRDefault="00E330D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6A1000C" w14:textId="78408F17" w:rsidR="009A7C4F" w:rsidRPr="00F01569" w:rsidRDefault="00E330D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98BA885" w14:textId="1069AC80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DCCE030" w14:textId="4C19AF5F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7C1849A" w14:textId="07E3E01F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2ED3DC6" w14:textId="4AEEB509" w:rsidR="009A7C4F" w:rsidRPr="00D27703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5F1EA024" w14:textId="4267CCBD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D8E188" w14:textId="13BFB66D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პარაგვაი</w:t>
            </w:r>
          </w:p>
        </w:tc>
        <w:tc>
          <w:tcPr>
            <w:tcW w:w="992" w:type="dxa"/>
          </w:tcPr>
          <w:p w14:paraId="11511A6A" w14:textId="0C3F02E1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6F1FA9" w14:textId="116A63E7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51E775B" w14:textId="23C3F14B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CD59355" w14:textId="410B6DF0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8820357" w14:textId="3CC63828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6EC6E3D0" w14:textId="20FC3E04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3265983" w14:textId="42A3F921" w:rsidR="009A7C4F" w:rsidRPr="00D27703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171AD683" w14:textId="1144AAD1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4F26F67" w14:textId="1B653817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პერუ</w:t>
            </w:r>
          </w:p>
        </w:tc>
        <w:tc>
          <w:tcPr>
            <w:tcW w:w="992" w:type="dxa"/>
          </w:tcPr>
          <w:p w14:paraId="53A89297" w14:textId="685E1CD2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50C9256" w14:textId="39874D91" w:rsidR="009A7C4F" w:rsidRPr="00F01569" w:rsidRDefault="009E444D" w:rsidP="009E44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E569ACC" w14:textId="2F0C9986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B7D6EBB" w14:textId="6E8555F1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60DE7FB" w14:textId="4BF21429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E895F54" w14:textId="152590DE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1259DE8F" w14:textId="27993F2E" w:rsidR="009A7C4F" w:rsidRPr="00D27703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1D866A62" w14:textId="1CBBC421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A40D84" w14:textId="75A4DC7A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პოლონეთი</w:t>
            </w:r>
          </w:p>
        </w:tc>
        <w:tc>
          <w:tcPr>
            <w:tcW w:w="992" w:type="dxa"/>
          </w:tcPr>
          <w:p w14:paraId="5FA78E6B" w14:textId="50AB34AC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A0F7650" w14:textId="53108A2B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7E3AB3ED" w14:textId="3C916BBD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D157546" w14:textId="5854E56B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B40C0BE" w14:textId="57D5CE01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E2F0958" w14:textId="2C6272AB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A5FF7F5" w14:textId="3D199988" w:rsidR="009A7C4F" w:rsidRPr="00D27703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07D86907" w14:textId="7EB86743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ABFD5B" w14:textId="31DEFC84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პორტუგალია</w:t>
            </w:r>
          </w:p>
        </w:tc>
        <w:tc>
          <w:tcPr>
            <w:tcW w:w="992" w:type="dxa"/>
          </w:tcPr>
          <w:p w14:paraId="0923580A" w14:textId="528A1909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BF53227" w14:textId="16EF5A3E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7891D6AF" w14:textId="4CDD13FE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DE5F395" w14:textId="6203F50E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9BE6648" w14:textId="404CEBEF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866B91D" w14:textId="44091B20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35E7FD0" w14:textId="1A23DDBC" w:rsidR="009A7C4F" w:rsidRPr="00D27703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1CB8875B" w14:textId="5B59F573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41DCB4" w14:textId="02CAC08C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რუმინეთი</w:t>
            </w:r>
          </w:p>
        </w:tc>
        <w:tc>
          <w:tcPr>
            <w:tcW w:w="992" w:type="dxa"/>
          </w:tcPr>
          <w:p w14:paraId="3DBCB0D8" w14:textId="37497B73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AD924F1" w14:textId="1911B449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476AD631" w14:textId="573E2644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8A7E8D2" w14:textId="65C7A757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9BA406" w14:textId="376B9FC1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9F02497" w14:textId="36DC7F36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52A2109" w14:textId="6CFE3B47" w:rsidR="009A7C4F" w:rsidRPr="00D27703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03828709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B15BEC" w14:textId="064EDF11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რუსეთი</w:t>
            </w:r>
          </w:p>
        </w:tc>
        <w:tc>
          <w:tcPr>
            <w:tcW w:w="992" w:type="dxa"/>
          </w:tcPr>
          <w:p w14:paraId="4820599B" w14:textId="196228E5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C1A664E" w14:textId="1D7E8287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BD36D64" w14:textId="1CE1CCE7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91871DE" w14:textId="48DE8D5C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9D511A2" w14:textId="1AD032EB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7E1278B2" w14:textId="0741B665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5AD46D1" w14:textId="403E2D80" w:rsidR="009A7C4F" w:rsidRPr="00D27703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27703">
              <w:rPr>
                <w:lang w:val="en-US"/>
              </w:rPr>
              <w:t>EpiVacCorona</w:t>
            </w:r>
            <w:proofErr w:type="spellEnd"/>
          </w:p>
        </w:tc>
      </w:tr>
      <w:tr w:rsidR="009A7C4F" w14:paraId="7DF625FD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832635" w14:textId="2C644FF5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რუანდა</w:t>
            </w:r>
          </w:p>
        </w:tc>
        <w:tc>
          <w:tcPr>
            <w:tcW w:w="992" w:type="dxa"/>
          </w:tcPr>
          <w:p w14:paraId="5F5D9319" w14:textId="1F5C3649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3E109BD" w14:textId="2F9B3E8D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0B3F6178" w14:textId="71BB6B41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98AE8DA" w14:textId="18D545AC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113A5C7" w14:textId="7EFF07A5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9CB67B5" w14:textId="6F5E1467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3B566F3C" w14:textId="703505A8" w:rsidR="009A7C4F" w:rsidRPr="00D27703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553AFD16" w14:textId="5C420B18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2D6102" w14:textId="72FE7365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საბერძნეთი</w:t>
            </w:r>
          </w:p>
        </w:tc>
        <w:tc>
          <w:tcPr>
            <w:tcW w:w="992" w:type="dxa"/>
          </w:tcPr>
          <w:p w14:paraId="5DEF7758" w14:textId="269DDC8F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6C26148" w14:textId="11231EF6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2A1AD9BB" w14:textId="0B678203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31F94DA" w14:textId="54B43BF2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D9E58B2" w14:textId="216C87F6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EBD74E9" w14:textId="5BA8A210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CB073BA" w14:textId="3D26E967" w:rsidR="009A7C4F" w:rsidRPr="00D27703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34057F1C" w14:textId="4854A8DF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0C2B27" w14:textId="3C47FB9C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სან მარინო</w:t>
            </w:r>
          </w:p>
        </w:tc>
        <w:tc>
          <w:tcPr>
            <w:tcW w:w="992" w:type="dxa"/>
          </w:tcPr>
          <w:p w14:paraId="14E0622B" w14:textId="55FC8CD9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F22CDC7" w14:textId="640E9421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53D5A67" w14:textId="1E55A08A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DC21F39" w14:textId="2FE7A0BF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B34A6A6" w14:textId="308C5E93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1DE9F916" w14:textId="6D2141D6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72DF480D" w14:textId="18D4F980" w:rsidR="009A7C4F" w:rsidRPr="00D27703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4C70337B" w14:textId="7ADC2124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1EA1EE7" w14:textId="1414EB25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lastRenderedPageBreak/>
              <w:t>საუდის არაბეთი</w:t>
            </w:r>
          </w:p>
        </w:tc>
        <w:tc>
          <w:tcPr>
            <w:tcW w:w="992" w:type="dxa"/>
          </w:tcPr>
          <w:p w14:paraId="1DB05392" w14:textId="018DB7B2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082BEBD" w14:textId="47E49550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2DC2311" w14:textId="34CCE58E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23A04D0" w14:textId="2740F26F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6D77DE7" w14:textId="25218A3A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405C555" w14:textId="01A15409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9F05D2F" w14:textId="3D745840" w:rsidR="009A7C4F" w:rsidRPr="00D27703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1E8C1BA7" w14:textId="4533BEB2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773DB37" w14:textId="6410D755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სენეგალი</w:t>
            </w:r>
          </w:p>
        </w:tc>
        <w:tc>
          <w:tcPr>
            <w:tcW w:w="992" w:type="dxa"/>
          </w:tcPr>
          <w:p w14:paraId="02AD852E" w14:textId="198CC169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5DAF207" w14:textId="6C9E8CCF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B83D8DA" w14:textId="31B0F472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C22F9AA" w14:textId="7EDAF9E0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4D0B9C4" w14:textId="74C32E7A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67340DC" w14:textId="7521D648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6D279EB5" w14:textId="336A644B" w:rsidR="009A7C4F" w:rsidRPr="00D27703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632BF27A" w14:textId="2400831C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00DA672" w14:textId="2E267268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სერბეთი</w:t>
            </w:r>
          </w:p>
        </w:tc>
        <w:tc>
          <w:tcPr>
            <w:tcW w:w="992" w:type="dxa"/>
          </w:tcPr>
          <w:p w14:paraId="26B70F8C" w14:textId="13FFC924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7DC472D" w14:textId="5EADAA36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8A35E3E" w14:textId="56D416E2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E6342A4" w14:textId="4767D0D4" w:rsidR="009A7C4F" w:rsidRPr="00F01569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10090C6" w14:textId="217ECDC5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3DBEFE3B" w14:textId="18A8C71A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42B29EAA" w14:textId="1396714F" w:rsidR="009A7C4F" w:rsidRPr="00D27703" w:rsidRDefault="009E444D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3F70E463" w14:textId="597DC343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8021261" w14:textId="1DEADD54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სეიშელი</w:t>
            </w:r>
          </w:p>
        </w:tc>
        <w:tc>
          <w:tcPr>
            <w:tcW w:w="992" w:type="dxa"/>
          </w:tcPr>
          <w:p w14:paraId="7287E7D4" w14:textId="4E5CF19B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2D5B2FD" w14:textId="471D6949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B40813B" w14:textId="5639B1C9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4AA8ECC" w14:textId="18A683DD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350433" w14:textId="583C3412" w:rsidR="009A7C4F" w:rsidRPr="00F01569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2EED512" w14:textId="7E6656CA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48B8C392" w14:textId="0D8591EF" w:rsidR="009A7C4F" w:rsidRPr="00D27703" w:rsidRDefault="009E444D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E330DF" w14:paraId="79D37EE3" w14:textId="733396E5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F6836D" w14:textId="371C7D5E" w:rsidR="00E330DF" w:rsidRPr="00D27703" w:rsidRDefault="00E330DF" w:rsidP="00E330D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სინგაპური</w:t>
            </w:r>
          </w:p>
        </w:tc>
        <w:tc>
          <w:tcPr>
            <w:tcW w:w="992" w:type="dxa"/>
          </w:tcPr>
          <w:p w14:paraId="541CE827" w14:textId="5B024DE6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4030E29" w14:textId="71E8FE04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4432D9C" w14:textId="69648BC3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039971C" w14:textId="7A3B26B5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66D40F" w14:textId="19F1B009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FE1F07B" w14:textId="6494B53D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1D30CDBF" w14:textId="08AC32BD" w:rsidR="00E330DF" w:rsidRPr="00D27703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E330DF" w14:paraId="2C408D8A" w14:textId="7451EA48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B7D35C" w14:textId="027346BA" w:rsidR="00E330DF" w:rsidRPr="00D27703" w:rsidRDefault="00E330DF" w:rsidP="00E330D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სლოვაკეთი</w:t>
            </w:r>
          </w:p>
        </w:tc>
        <w:tc>
          <w:tcPr>
            <w:tcW w:w="992" w:type="dxa"/>
          </w:tcPr>
          <w:p w14:paraId="443444DE" w14:textId="1B6CFCB4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442C753" w14:textId="1265E08F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0E58A5A" w14:textId="5152B26C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0F9784F" w14:textId="4A48ECC2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D8951D5" w14:textId="151E9D64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081517D9" w14:textId="37F9CE96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595BA74" w14:textId="512334C8" w:rsidR="00E330DF" w:rsidRPr="00D27703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E330DF" w14:paraId="00C6B164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43B032" w14:textId="3F274289" w:rsidR="00E330DF" w:rsidRPr="00D27703" w:rsidRDefault="00E330DF" w:rsidP="00E330D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სლოვენია</w:t>
            </w:r>
          </w:p>
        </w:tc>
        <w:tc>
          <w:tcPr>
            <w:tcW w:w="992" w:type="dxa"/>
          </w:tcPr>
          <w:p w14:paraId="13CB5E43" w14:textId="692BEE3B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BEBD99F" w14:textId="603054A3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2208AC30" w14:textId="392BED5F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1C277FE" w14:textId="6AAFA3D1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821AD9" w14:textId="47FDAF90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64CCCEE" w14:textId="057719C7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4B5E6E9F" w14:textId="4EACB85E" w:rsidR="00E330DF" w:rsidRPr="00D27703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E330DF" w14:paraId="3277F2C0" w14:textId="5C1EB600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382B954" w14:textId="653E2E86" w:rsidR="00E330DF" w:rsidRPr="00D27703" w:rsidRDefault="00E330DF" w:rsidP="00E330D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სამხრეთ აფრიკა</w:t>
            </w:r>
          </w:p>
        </w:tc>
        <w:tc>
          <w:tcPr>
            <w:tcW w:w="992" w:type="dxa"/>
          </w:tcPr>
          <w:p w14:paraId="090CAF53" w14:textId="555F44CB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6AEB488" w14:textId="543B736F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75093C8" w14:textId="6C93B95D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9423959" w14:textId="6F2C84DB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C9ECF11" w14:textId="6A450605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37AA0CF" w14:textId="45248D22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139113E" w14:textId="1D8BC2CB" w:rsidR="00E330DF" w:rsidRPr="00D27703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lang w:val="en-US"/>
              </w:rPr>
              <w:t>Johnson &amp; Johnson</w:t>
            </w:r>
          </w:p>
        </w:tc>
      </w:tr>
      <w:tr w:rsidR="00E330DF" w14:paraId="2FA962DF" w14:textId="255738F0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EA88984" w14:textId="15BC9FBE" w:rsidR="00E330DF" w:rsidRPr="00D27703" w:rsidRDefault="00E330DF" w:rsidP="00E330D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ს. კორეა</w:t>
            </w:r>
          </w:p>
        </w:tc>
        <w:tc>
          <w:tcPr>
            <w:tcW w:w="992" w:type="dxa"/>
          </w:tcPr>
          <w:p w14:paraId="62B057A8" w14:textId="00490622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21FA58B" w14:textId="07C84770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31E9359" w14:textId="0C7CEC1E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7078C9B" w14:textId="77777777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A9F6E4" w14:textId="7504DE6E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E7167D7" w14:textId="264720C7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1E30189F" w14:textId="2518D420" w:rsidR="00E330DF" w:rsidRPr="00D27703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E330DF" w14:paraId="6574FAE8" w14:textId="362D3F8A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042CE98" w14:textId="6768D5B5" w:rsidR="00E330DF" w:rsidRPr="00D27703" w:rsidRDefault="00E330DF" w:rsidP="00E330D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ტაილანდი</w:t>
            </w:r>
          </w:p>
        </w:tc>
        <w:tc>
          <w:tcPr>
            <w:tcW w:w="992" w:type="dxa"/>
          </w:tcPr>
          <w:p w14:paraId="6DFC5EEE" w14:textId="42DF0726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5D2B5C5" w14:textId="29694C8F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F93E9DB" w14:textId="46AD5C47" w:rsidR="00E330DF" w:rsidRPr="00F01569" w:rsidRDefault="009A0F52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87F659A" w14:textId="3BDB6A42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A69A646" w14:textId="56D62263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21CC9C2" w14:textId="11C13A74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0EB5852" w14:textId="448E94C9" w:rsidR="00E330DF" w:rsidRPr="00D27703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E330DF" w14:paraId="35BB15FB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BB0678F" w14:textId="38DB51C5" w:rsidR="00E330DF" w:rsidRPr="00D27703" w:rsidRDefault="00E330DF" w:rsidP="00E330D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უკრაინა</w:t>
            </w:r>
          </w:p>
        </w:tc>
        <w:tc>
          <w:tcPr>
            <w:tcW w:w="992" w:type="dxa"/>
          </w:tcPr>
          <w:p w14:paraId="4981B7A9" w14:textId="012209C3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06F98A7" w14:textId="47AADE9E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43FF25F" w14:textId="50DCCA75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441E6BA" w14:textId="07B67F68" w:rsidR="00E330DF" w:rsidRPr="00F01569" w:rsidRDefault="002452BB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F3D3A99" w14:textId="6FF216B0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AFDCEEE" w14:textId="3CEC248B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55F86803" w14:textId="2CEEAF99" w:rsidR="00E330DF" w:rsidRPr="00D27703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E330DF" w:rsidRPr="00324FF3" w14:paraId="1C70915C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546FE52" w14:textId="414FC6D1" w:rsidR="00E330DF" w:rsidRPr="00D27703" w:rsidRDefault="00E330DF" w:rsidP="00E330D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ურუგვაი</w:t>
            </w:r>
          </w:p>
        </w:tc>
        <w:tc>
          <w:tcPr>
            <w:tcW w:w="992" w:type="dxa"/>
          </w:tcPr>
          <w:p w14:paraId="6F977C35" w14:textId="11DD1FDC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184F717" w14:textId="012B36FB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507EE52" w14:textId="5467E6D7" w:rsidR="00E330DF" w:rsidRPr="00F01569" w:rsidRDefault="009A0F52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C4E85C6" w14:textId="2C8B1160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B6EC96F" w14:textId="355D5F44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4326C42" w14:textId="4A42CF5F" w:rsidR="00E330DF" w:rsidRPr="00F01569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D6FFE04" w14:textId="5BD34C7C" w:rsidR="00E330DF" w:rsidRPr="00D27703" w:rsidRDefault="00E330DF" w:rsidP="00E3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E330DF" w14:paraId="4AD1A65C" w14:textId="5FA7E454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CA718B" w14:textId="541B4C2C" w:rsidR="00E330DF" w:rsidRPr="00D27703" w:rsidRDefault="00E330DF" w:rsidP="00E330D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უნგრეთი</w:t>
            </w:r>
          </w:p>
        </w:tc>
        <w:tc>
          <w:tcPr>
            <w:tcW w:w="992" w:type="dxa"/>
          </w:tcPr>
          <w:p w14:paraId="1872C47B" w14:textId="364609C7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5E85424" w14:textId="37F1F04F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3CF0980F" w14:textId="579CD872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5064D04" w14:textId="37286DC6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DC57CEE" w14:textId="25080F09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6C566E48" w14:textId="41359866" w:rsidR="00E330DF" w:rsidRPr="00F01569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46EF609B" w14:textId="6BF35801" w:rsidR="00E330DF" w:rsidRPr="00D27703" w:rsidRDefault="00E330DF" w:rsidP="00E33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21083AED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0C6648C" w14:textId="1F35B506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ფაროს კუნძულები</w:t>
            </w:r>
          </w:p>
        </w:tc>
        <w:tc>
          <w:tcPr>
            <w:tcW w:w="992" w:type="dxa"/>
          </w:tcPr>
          <w:p w14:paraId="660C2E17" w14:textId="6A6E7601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C512362" w14:textId="3A82F8B0" w:rsidR="009A7C4F" w:rsidRPr="00F01569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FC7708B" w14:textId="4D8B54C6" w:rsidR="009A7C4F" w:rsidRPr="00F01569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1356DC6" w14:textId="75400BCA" w:rsidR="009A7C4F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9C10045" w14:textId="351138BF" w:rsidR="009A7C4F" w:rsidRPr="00F01569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C3451E0" w14:textId="70BAD4AB" w:rsidR="009A7C4F" w:rsidRPr="00F01569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E35CD0C" w14:textId="4A7DA9CB" w:rsidR="009A7C4F" w:rsidRPr="00D27703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62994C53" w14:textId="6859E370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7E7E7F8" w14:textId="2AB1E180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ფინეთი</w:t>
            </w:r>
          </w:p>
        </w:tc>
        <w:tc>
          <w:tcPr>
            <w:tcW w:w="992" w:type="dxa"/>
          </w:tcPr>
          <w:p w14:paraId="46BAF90C" w14:textId="0524BCE0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DF1270A" w14:textId="6D6E9AE4" w:rsidR="009A7C4F" w:rsidRPr="00F01569" w:rsidRDefault="009A7C4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777370C3" w14:textId="0BDC5474" w:rsidR="009A7C4F" w:rsidRPr="00F01569" w:rsidRDefault="00E330D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2B9E9A5" w14:textId="1EA08B9B" w:rsidR="009A7C4F" w:rsidRPr="00F01569" w:rsidRDefault="00E330D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1451BB5" w14:textId="10188C42" w:rsidR="009A7C4F" w:rsidRPr="00F01569" w:rsidRDefault="00E330D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344D481" w14:textId="18C97661" w:rsidR="009A7C4F" w:rsidRPr="00F01569" w:rsidRDefault="00E330D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5B772451" w14:textId="03CF15C6" w:rsidR="009A7C4F" w:rsidRPr="00D27703" w:rsidRDefault="00E330DF" w:rsidP="009A7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9A7C4F" w14:paraId="2BDA86A3" w14:textId="04B90F19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E1208D6" w14:textId="2FBECAAA" w:rsidR="009A7C4F" w:rsidRPr="00D27703" w:rsidRDefault="009A7C4F" w:rsidP="009A7C4F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ფილიპინები</w:t>
            </w:r>
          </w:p>
        </w:tc>
        <w:tc>
          <w:tcPr>
            <w:tcW w:w="992" w:type="dxa"/>
          </w:tcPr>
          <w:p w14:paraId="04E9B6D0" w14:textId="6B1C003B" w:rsidR="009A7C4F" w:rsidRPr="00F01569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516FE77" w14:textId="4206B9FC" w:rsidR="009A7C4F" w:rsidRPr="00F01569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E2CD7D9" w14:textId="1719D66F" w:rsidR="009A7C4F" w:rsidRPr="00F01569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96177A7" w14:textId="4571B6CC" w:rsidR="009A7C4F" w:rsidRPr="00F01569" w:rsidRDefault="009A7C4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B37F0A5" w14:textId="55442AA7" w:rsidR="009A7C4F" w:rsidRPr="00F01569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C17E5E0" w14:textId="332529B4" w:rsidR="009A7C4F" w:rsidRPr="00F01569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4A84D320" w14:textId="33BD9A7C" w:rsidR="009A7C4F" w:rsidRPr="00D27703" w:rsidRDefault="00E330DF" w:rsidP="009A7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486EC6" w14:paraId="4E582825" w14:textId="64A4506F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96BE0E5" w14:textId="5F767E6E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ქუვეითი</w:t>
            </w:r>
          </w:p>
        </w:tc>
        <w:tc>
          <w:tcPr>
            <w:tcW w:w="992" w:type="dxa"/>
          </w:tcPr>
          <w:p w14:paraId="3A9FAE8C" w14:textId="5FDD2863" w:rsidR="00486EC6" w:rsidRPr="00F01569" w:rsidRDefault="00486EC6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AF8065B" w14:textId="5EECD4A3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8188E33" w14:textId="3EA64EB0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1141CC3" w14:textId="0D259374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BA01D57" w14:textId="759670A0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892446E" w14:textId="276B9FC4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EAE9C0D" w14:textId="66DCDC92" w:rsidR="00486EC6" w:rsidRPr="00D27703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486EC6" w14:paraId="41EA7279" w14:textId="5BA55D83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708FAC5" w14:textId="6AA5F33D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ყატარი</w:t>
            </w:r>
          </w:p>
        </w:tc>
        <w:tc>
          <w:tcPr>
            <w:tcW w:w="992" w:type="dxa"/>
          </w:tcPr>
          <w:p w14:paraId="1E891D8D" w14:textId="7B716D62" w:rsidR="00486EC6" w:rsidRPr="00F01569" w:rsidRDefault="00486EC6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D3F76BA" w14:textId="6AA765F0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6BA8281" w14:textId="32FEA492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C2D6CE6" w14:textId="6DFC3C98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5B78BD3" w14:textId="00AD7EF8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D7BD014" w14:textId="1AECAB5D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72014CAB" w14:textId="0476DC44" w:rsidR="00486EC6" w:rsidRPr="00D27703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486EC6" w14:paraId="6685B280" w14:textId="36E73368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A365250" w14:textId="33823172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ყაზახეთი</w:t>
            </w:r>
          </w:p>
        </w:tc>
        <w:tc>
          <w:tcPr>
            <w:tcW w:w="992" w:type="dxa"/>
          </w:tcPr>
          <w:p w14:paraId="7100B667" w14:textId="2C41BD73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3628A79" w14:textId="3DE9F3EF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66723F1" w14:textId="533FEF1D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DDAA22E" w14:textId="56C51CD3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78C7915" w14:textId="24AFAA6C" w:rsidR="00486EC6" w:rsidRPr="00F01569" w:rsidRDefault="00486EC6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230DE137" w14:textId="62EFBD11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5EABFD36" w14:textId="22351D07" w:rsidR="00486EC6" w:rsidRPr="00D27703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486EC6" w14:paraId="2895B898" w14:textId="071DF80F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1DC931" w14:textId="74FEEC94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შოტლანდია</w:t>
            </w:r>
          </w:p>
        </w:tc>
        <w:tc>
          <w:tcPr>
            <w:tcW w:w="992" w:type="dxa"/>
          </w:tcPr>
          <w:p w14:paraId="3BBC3DD5" w14:textId="72C6E82B" w:rsidR="00486EC6" w:rsidRPr="00F01569" w:rsidRDefault="00486EC6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F9CF6D6" w14:textId="2C6263E8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3B63D26" w14:textId="53C5A3F2" w:rsidR="00486EC6" w:rsidRPr="00F01569" w:rsidRDefault="00486EC6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1548046" w14:textId="559F992A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1C9AA04" w14:textId="66C3D0F3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08C11DA" w14:textId="0133DB50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3C1F918" w14:textId="3D714828" w:rsidR="00486EC6" w:rsidRPr="00D27703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486EC6" w14:paraId="77D395B9" w14:textId="637DD68C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D759AA" w14:textId="602F4B29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შრი-ლანკა</w:t>
            </w:r>
          </w:p>
        </w:tc>
        <w:tc>
          <w:tcPr>
            <w:tcW w:w="992" w:type="dxa"/>
          </w:tcPr>
          <w:p w14:paraId="6A979C4E" w14:textId="2EB3376F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5545C76" w14:textId="235C8050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06C0BF0" w14:textId="11635258" w:rsidR="00486EC6" w:rsidRPr="00F01569" w:rsidRDefault="00486EC6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C12AD55" w14:textId="0A56147C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908A18" w14:textId="03FFE08C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B0E8A11" w14:textId="39DD9091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D9CA7FA" w14:textId="44242649" w:rsidR="00486EC6" w:rsidRPr="00D27703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486EC6" w14:paraId="166ACCA1" w14:textId="2DE509F9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B23DB9D" w14:textId="2A5AA368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შვედეთი</w:t>
            </w:r>
          </w:p>
        </w:tc>
        <w:tc>
          <w:tcPr>
            <w:tcW w:w="992" w:type="dxa"/>
          </w:tcPr>
          <w:p w14:paraId="79ACBDD2" w14:textId="723B916A" w:rsidR="00486EC6" w:rsidRPr="00F01569" w:rsidRDefault="00486EC6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2FB0C6F" w14:textId="420AE10E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418F4F0" w14:textId="72467808" w:rsidR="00486EC6" w:rsidRPr="00F01569" w:rsidRDefault="00486EC6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C796357" w14:textId="3668BCBD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7E4FDBD" w14:textId="63C46242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6E6FC52" w14:textId="6B1D72A7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46BC5B84" w14:textId="7FFA65E6" w:rsidR="00486EC6" w:rsidRPr="00D27703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486EC6" w14:paraId="03DACE4A" w14:textId="430FAA6C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A38F343" w14:textId="1477B3BC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შვეიცარია</w:t>
            </w:r>
          </w:p>
        </w:tc>
        <w:tc>
          <w:tcPr>
            <w:tcW w:w="992" w:type="dxa"/>
          </w:tcPr>
          <w:p w14:paraId="15D922B7" w14:textId="4F36EB45" w:rsidR="00486EC6" w:rsidRPr="00F01569" w:rsidRDefault="00486EC6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61583FF" w14:textId="08EC83D8" w:rsidR="00486EC6" w:rsidRPr="00F01569" w:rsidRDefault="00486EC6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4275AC59" w14:textId="3F8DE805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7619C96" w14:textId="18BA5650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C1008F" w14:textId="5E8E6B61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53F2E2A" w14:textId="2D061CDF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4B09D869" w14:textId="5658F043" w:rsidR="00486EC6" w:rsidRPr="00D27703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486EC6" w14:paraId="3AAC6C1D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09867D" w14:textId="0C5F5D1C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ჩილე</w:t>
            </w:r>
          </w:p>
        </w:tc>
        <w:tc>
          <w:tcPr>
            <w:tcW w:w="992" w:type="dxa"/>
          </w:tcPr>
          <w:p w14:paraId="7E7964F7" w14:textId="4183C4E7" w:rsidR="00486EC6" w:rsidRPr="00F01569" w:rsidRDefault="00486EC6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22345CE" w14:textId="6B166913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E399CDE" w14:textId="55C9EFCB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343D0DC" w14:textId="7725A190" w:rsidR="00486EC6" w:rsidRPr="00F01569" w:rsidRDefault="00486EC6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BB04417" w14:textId="3F011C2F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430FABA" w14:textId="28A2FDF5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60F7947" w14:textId="0FF57367" w:rsidR="00486EC6" w:rsidRPr="00D27703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486EC6" w14:paraId="498C4353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3BC6DC7" w14:textId="79B414BC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ჩინეთი</w:t>
            </w:r>
          </w:p>
        </w:tc>
        <w:tc>
          <w:tcPr>
            <w:tcW w:w="992" w:type="dxa"/>
          </w:tcPr>
          <w:p w14:paraId="6ECC2B94" w14:textId="710DB71F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9B0C720" w14:textId="36371201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DD3E1ED" w14:textId="79BA8002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48F2FFE" w14:textId="0C8C6138" w:rsidR="00486EC6" w:rsidRPr="00F01569" w:rsidRDefault="00486EC6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430F685" w14:textId="02CDD028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56E1E97" w14:textId="007A4AA2" w:rsidR="00486EC6" w:rsidRPr="00F01569" w:rsidRDefault="00486EC6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58" w:type="dxa"/>
          </w:tcPr>
          <w:p w14:paraId="0C984B45" w14:textId="6E8DDF8C" w:rsidR="00486EC6" w:rsidRPr="00D27703" w:rsidRDefault="00486EC6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D27703">
              <w:rPr>
                <w:lang w:val="en-US"/>
              </w:rPr>
              <w:t>Sinopharm</w:t>
            </w:r>
            <w:proofErr w:type="spellEnd"/>
            <w:r w:rsidRPr="00D27703">
              <w:rPr>
                <w:lang w:val="en-US"/>
              </w:rPr>
              <w:t>/Wuhan</w:t>
            </w:r>
          </w:p>
        </w:tc>
      </w:tr>
      <w:tr w:rsidR="00486EC6" w14:paraId="5991E491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FF95E7" w14:textId="509E3287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ჩრ. კიპროსი</w:t>
            </w:r>
          </w:p>
        </w:tc>
        <w:tc>
          <w:tcPr>
            <w:tcW w:w="992" w:type="dxa"/>
          </w:tcPr>
          <w:p w14:paraId="7C269515" w14:textId="600552E3" w:rsidR="00486EC6" w:rsidRPr="00F01569" w:rsidRDefault="00486EC6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F32427C" w14:textId="0B21B2C9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62D72A0" w14:textId="2CB732B9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8934D66" w14:textId="4749B33E" w:rsidR="00486EC6" w:rsidRPr="00F01569" w:rsidRDefault="00486EC6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60D23D6" w14:textId="60B192BA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124A427" w14:textId="44638DBD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5BA5D17" w14:textId="3E650452" w:rsidR="00486EC6" w:rsidRPr="00D27703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703">
              <w:rPr>
                <w:b/>
                <w:bCs/>
              </w:rPr>
              <w:t>-</w:t>
            </w:r>
          </w:p>
        </w:tc>
      </w:tr>
      <w:tr w:rsidR="00486EC6" w14:paraId="2F77DD6C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FA64C5" w14:textId="716E3720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ჩეხეთი</w:t>
            </w:r>
          </w:p>
        </w:tc>
        <w:tc>
          <w:tcPr>
            <w:tcW w:w="992" w:type="dxa"/>
          </w:tcPr>
          <w:p w14:paraId="3CF8A817" w14:textId="2C45AC28" w:rsidR="00486EC6" w:rsidRPr="00F01569" w:rsidRDefault="00486EC6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A5561FC" w14:textId="07EA32CE" w:rsidR="00486EC6" w:rsidRPr="00F01569" w:rsidRDefault="00486EC6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289CBC0B" w14:textId="3EABCC1F" w:rsidR="00486EC6" w:rsidRPr="00F01569" w:rsidRDefault="00486EC6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FE6AE04" w14:textId="1756E295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AE95E2" w14:textId="6B02E2E1" w:rsidR="00486EC6" w:rsidRPr="009020B5" w:rsidRDefault="009020B5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1275" w:type="dxa"/>
          </w:tcPr>
          <w:p w14:paraId="17B8F56B" w14:textId="3A415E3B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DABB628" w14:textId="7E63313E" w:rsidR="00486EC6" w:rsidRPr="00854ABA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86EC6" w14:paraId="75660EBF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763740" w14:textId="1BB57424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ხორვატია</w:t>
            </w:r>
          </w:p>
        </w:tc>
        <w:tc>
          <w:tcPr>
            <w:tcW w:w="992" w:type="dxa"/>
          </w:tcPr>
          <w:p w14:paraId="663262DF" w14:textId="1B355309" w:rsidR="00486EC6" w:rsidRPr="00F01569" w:rsidRDefault="00486EC6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607EFEF" w14:textId="26D48FC1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98C8561" w14:textId="30BD4137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EE5C71C" w14:textId="7B3F2F03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0145416" w14:textId="6C9D1167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6EAC4CF" w14:textId="78C8DDB7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778CF37E" w14:textId="0AEB4282" w:rsidR="00486EC6" w:rsidRPr="00854ABA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86EC6" w14:paraId="28946B9B" w14:textId="77777777" w:rsidTr="00D2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27457A" w14:textId="02122FAE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ჰონდურასი</w:t>
            </w:r>
          </w:p>
        </w:tc>
        <w:tc>
          <w:tcPr>
            <w:tcW w:w="992" w:type="dxa"/>
          </w:tcPr>
          <w:p w14:paraId="4BA13170" w14:textId="439BA492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1F2608C" w14:textId="0EBBCFE0" w:rsidR="00486EC6" w:rsidRPr="00F01569" w:rsidRDefault="00486EC6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4A6E7994" w14:textId="79E06630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B3B0EBE" w14:textId="41FB91D5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3B14FAF" w14:textId="7955D36E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44AE368" w14:textId="4CEE9EFB" w:rsidR="00486EC6" w:rsidRPr="00F01569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78031047" w14:textId="4D27CCDE" w:rsidR="00486EC6" w:rsidRPr="00854ABA" w:rsidRDefault="00E330DF" w:rsidP="0048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86EC6" w14:paraId="35F81A16" w14:textId="77777777" w:rsidTr="00D27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0F0DDDE" w14:textId="5622830D" w:rsidR="00486EC6" w:rsidRPr="00D27703" w:rsidRDefault="00486EC6" w:rsidP="00486EC6">
            <w:pPr>
              <w:rPr>
                <w:b w:val="0"/>
                <w:bCs w:val="0"/>
              </w:rPr>
            </w:pPr>
            <w:r w:rsidRPr="00D27703">
              <w:rPr>
                <w:b w:val="0"/>
                <w:bCs w:val="0"/>
              </w:rPr>
              <w:t>ჰონგ კონგი</w:t>
            </w:r>
          </w:p>
        </w:tc>
        <w:tc>
          <w:tcPr>
            <w:tcW w:w="992" w:type="dxa"/>
          </w:tcPr>
          <w:p w14:paraId="137C6F35" w14:textId="050A5D89" w:rsidR="00486EC6" w:rsidRPr="00F01569" w:rsidRDefault="00486EC6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7C30AC3" w14:textId="45055D7D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080B1C3" w14:textId="677BA588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4302DED" w14:textId="79B2F76E" w:rsidR="00486EC6" w:rsidRPr="00F01569" w:rsidRDefault="00486EC6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01569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75EBDC2" w14:textId="0D8A4859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8A2868D" w14:textId="0D062E11" w:rsidR="00486EC6" w:rsidRPr="00F01569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E10CF94" w14:textId="4121EA56" w:rsidR="00486EC6" w:rsidRPr="00854ABA" w:rsidRDefault="00E330DF" w:rsidP="0048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14:paraId="12E77512" w14:textId="77777777" w:rsidR="00F01569" w:rsidRPr="00AA5727" w:rsidRDefault="00F01569" w:rsidP="002777D3">
      <w:pPr>
        <w:rPr>
          <w:lang w:val="en-US"/>
        </w:rPr>
      </w:pPr>
    </w:p>
    <w:p w14:paraId="506830AC" w14:textId="29DA8F2C" w:rsidR="00F24D93" w:rsidRDefault="00F24D93" w:rsidP="002777D3"/>
    <w:p w14:paraId="7AFFF6A0" w14:textId="609F3BA1" w:rsidR="00324FF3" w:rsidRPr="00324FF3" w:rsidRDefault="00324FF3" w:rsidP="00A05F71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 xml:space="preserve">ხუთშაბათს, 11 მარტს </w:t>
      </w:r>
      <w:r w:rsidRPr="00321026">
        <w:rPr>
          <w:rFonts w:eastAsia="Times New Roman" w:cs="Arial"/>
          <w:color w:val="000000"/>
          <w:sz w:val="23"/>
          <w:szCs w:val="23"/>
        </w:rPr>
        <w:t>EMA</w:t>
      </w:r>
      <w:r>
        <w:rPr>
          <w:rFonts w:eastAsia="Times New Roman" w:cs="Arial"/>
          <w:color w:val="000000"/>
          <w:sz w:val="23"/>
          <w:szCs w:val="23"/>
        </w:rPr>
        <w:t xml:space="preserve">-მ ავტორიზაცია მისცა </w:t>
      </w:r>
      <w:r w:rsidRPr="00321026">
        <w:rPr>
          <w:rFonts w:eastAsia="Times New Roman" w:cs="Arial"/>
          <w:color w:val="000000"/>
          <w:sz w:val="23"/>
          <w:szCs w:val="23"/>
        </w:rPr>
        <w:t>Johnson &amp; Johnson-</w:t>
      </w:r>
      <w:r>
        <w:rPr>
          <w:rFonts w:eastAsia="Times New Roman" w:cs="Arial"/>
          <w:color w:val="000000"/>
          <w:sz w:val="23"/>
          <w:szCs w:val="23"/>
        </w:rPr>
        <w:t>ის ერთდოზიან ვაქცინას</w:t>
      </w:r>
      <w:r>
        <w:rPr>
          <w:rStyle w:val="FootnoteReference"/>
          <w:rFonts w:eastAsia="Times New Roman" w:cs="Arial"/>
          <w:color w:val="000000"/>
          <w:sz w:val="23"/>
          <w:szCs w:val="23"/>
        </w:rPr>
        <w:footnoteReference w:id="6"/>
      </w:r>
      <w:r>
        <w:rPr>
          <w:rFonts w:eastAsia="Times New Roman" w:cs="Arial"/>
          <w:color w:val="000000"/>
          <w:sz w:val="23"/>
          <w:szCs w:val="23"/>
        </w:rPr>
        <w:t>.</w:t>
      </w:r>
    </w:p>
    <w:p w14:paraId="720245F3" w14:textId="3703DDC0" w:rsidR="00324FF3" w:rsidRPr="00324FF3" w:rsidRDefault="00324FF3" w:rsidP="00A05F71">
      <w:pPr>
        <w:rPr>
          <w:rFonts w:ascii="Sylfaen" w:eastAsia="Times New Roman" w:hAnsi="Sylfaen" w:cs="Arial"/>
          <w:color w:val="000000"/>
          <w:sz w:val="23"/>
          <w:szCs w:val="23"/>
        </w:rPr>
      </w:pPr>
      <w:r>
        <w:rPr>
          <w:rFonts w:ascii="Sylfaen" w:eastAsia="Times New Roman" w:hAnsi="Sylfaen" w:cs="Arial"/>
          <w:color w:val="000000"/>
          <w:sz w:val="23"/>
          <w:szCs w:val="23"/>
        </w:rPr>
        <w:t xml:space="preserve">ანაფილაქსიის ტიპის გვერდითი მოვლენები, </w:t>
      </w:r>
      <w:r w:rsidRPr="00321026">
        <w:rPr>
          <w:rFonts w:ascii="Sylfaen" w:eastAsia="Times New Roman" w:hAnsi="Sylfaen" w:cs="Arial"/>
          <w:color w:val="000000"/>
          <w:sz w:val="23"/>
          <w:szCs w:val="23"/>
        </w:rPr>
        <w:t>mRNA</w:t>
      </w:r>
      <w:r>
        <w:rPr>
          <w:rFonts w:ascii="Sylfaen" w:eastAsia="Times New Roman" w:hAnsi="Sylfaen" w:cs="Arial"/>
          <w:color w:val="000000"/>
          <w:sz w:val="23"/>
          <w:szCs w:val="23"/>
        </w:rPr>
        <w:t xml:space="preserve"> ვაქცინის მიღებიდან შეადგენს 2.5-დან 11.1 შემთხვევამდე 1 მლნ დოზაზე</w:t>
      </w:r>
      <w:r>
        <w:rPr>
          <w:rStyle w:val="FootnoteReference"/>
          <w:rFonts w:ascii="Sylfaen" w:eastAsia="Times New Roman" w:hAnsi="Sylfaen" w:cs="Arial"/>
          <w:color w:val="000000"/>
          <w:sz w:val="23"/>
          <w:szCs w:val="23"/>
        </w:rPr>
        <w:footnoteReference w:id="7"/>
      </w:r>
      <w:r>
        <w:rPr>
          <w:rFonts w:ascii="Sylfaen" w:eastAsia="Times New Roman" w:hAnsi="Sylfaen" w:cs="Arial"/>
          <w:color w:val="000000"/>
          <w:sz w:val="23"/>
          <w:szCs w:val="23"/>
        </w:rPr>
        <w:t xml:space="preserve">. უმეტეს შემთხვევებში, რეაქცი აღინიშნება ანამნეზში ალერგიული რეაქციის მქონე პირებში. </w:t>
      </w:r>
    </w:p>
    <w:p w14:paraId="52075426" w14:textId="2C487020" w:rsidR="00A05F71" w:rsidRDefault="00324FF3" w:rsidP="00A05F71">
      <w:pPr>
        <w:rPr>
          <w:rFonts w:ascii="Arial" w:eastAsia="Times New Roman" w:hAnsi="Arial" w:cs="Arial"/>
          <w:color w:val="403F42"/>
          <w:sz w:val="21"/>
          <w:szCs w:val="21"/>
        </w:rPr>
      </w:pPr>
      <w:r>
        <w:rPr>
          <w:rFonts w:ascii="Sylfaen" w:eastAsia="Times New Roman" w:hAnsi="Sylfaen" w:cs="Arial"/>
          <w:color w:val="000000"/>
          <w:sz w:val="23"/>
          <w:szCs w:val="23"/>
        </w:rPr>
        <w:t>მექსიკა, ვაქცინის არასაკმარისი რაოდენობის გამო, ჩინეთიდან ყიდულობს 22 მლნ დოზა ვაქცინას</w:t>
      </w:r>
      <w:r>
        <w:rPr>
          <w:rStyle w:val="FootnoteReference"/>
          <w:rFonts w:ascii="Sylfaen" w:eastAsia="Times New Roman" w:hAnsi="Sylfaen" w:cs="Arial"/>
          <w:color w:val="000000"/>
          <w:sz w:val="23"/>
          <w:szCs w:val="23"/>
        </w:rPr>
        <w:footnoteReference w:id="8"/>
      </w:r>
      <w:r>
        <w:rPr>
          <w:rFonts w:ascii="Sylfaen" w:eastAsia="Times New Roman" w:hAnsi="Sylfaen" w:cs="Arial"/>
          <w:color w:val="000000"/>
          <w:sz w:val="23"/>
          <w:szCs w:val="23"/>
        </w:rPr>
        <w:t xml:space="preserve">. </w:t>
      </w:r>
    </w:p>
    <w:p w14:paraId="5DBF4DDF" w14:textId="69AFC7C4" w:rsidR="00A05F71" w:rsidRPr="00324FF3" w:rsidRDefault="00324FF3" w:rsidP="002777D3">
      <w:r>
        <w:lastRenderedPageBreak/>
        <w:t xml:space="preserve">აშშ, პრეზიდენტის განცხადებით, დამატებით შეიძენს 100 მლნ დოზა </w:t>
      </w:r>
      <w:r w:rsidRPr="00321026">
        <w:rPr>
          <w:rFonts w:eastAsia="Times New Roman" w:cs="Arial"/>
          <w:color w:val="000000"/>
          <w:sz w:val="23"/>
          <w:szCs w:val="23"/>
        </w:rPr>
        <w:t>Johnson &amp; Johnson</w:t>
      </w:r>
      <w:r>
        <w:rPr>
          <w:rFonts w:eastAsia="Times New Roman" w:cs="Arial"/>
          <w:color w:val="000000"/>
          <w:sz w:val="23"/>
          <w:szCs w:val="23"/>
        </w:rPr>
        <w:t>-ის ვაქცინას</w:t>
      </w:r>
      <w:r>
        <w:rPr>
          <w:rStyle w:val="FootnoteReference"/>
          <w:rFonts w:eastAsia="Times New Roman" w:cs="Arial"/>
          <w:color w:val="000000"/>
          <w:sz w:val="23"/>
          <w:szCs w:val="23"/>
        </w:rPr>
        <w:footnoteReference w:id="9"/>
      </w:r>
      <w:r>
        <w:rPr>
          <w:rFonts w:eastAsia="Times New Roman" w:cs="Arial"/>
          <w:color w:val="000000"/>
          <w:sz w:val="23"/>
          <w:szCs w:val="23"/>
        </w:rPr>
        <w:t>.</w:t>
      </w:r>
    </w:p>
    <w:p w14:paraId="23E5B4BF" w14:textId="12838B2A" w:rsidR="00A05F71" w:rsidRDefault="00324FF3" w:rsidP="00A05F71">
      <w:pPr>
        <w:rPr>
          <w:rFonts w:eastAsia="Times New Roman" w:cs="Arial"/>
          <w:color w:val="403F42"/>
          <w:sz w:val="21"/>
          <w:szCs w:val="21"/>
        </w:rPr>
      </w:pPr>
      <w:r>
        <w:rPr>
          <w:rFonts w:eastAsia="Times New Roman" w:cs="Arial"/>
          <w:color w:val="403F42"/>
          <w:sz w:val="21"/>
          <w:szCs w:val="21"/>
        </w:rPr>
        <w:t>უკრაინა, ვაქცინაციის დაწყების შემდეგ ახალ გამოწვევას უმკავდება - ვაქცინის მიმართ რეზისტენტული მოსახლეობის დიდ რაოდენობას. აცრებზე მოთხოვნა იანვრის შემდეგ საგრძნობლად შემცირებულია და შეადგენს მოსახლეობის მხოლოდ 40%-ს</w:t>
      </w:r>
      <w:r>
        <w:rPr>
          <w:rStyle w:val="FootnoteReference"/>
          <w:rFonts w:eastAsia="Times New Roman" w:cs="Arial"/>
          <w:color w:val="403F42"/>
          <w:sz w:val="21"/>
          <w:szCs w:val="21"/>
        </w:rPr>
        <w:footnoteReference w:id="10"/>
      </w:r>
      <w:r>
        <w:rPr>
          <w:rFonts w:eastAsia="Times New Roman" w:cs="Arial"/>
          <w:color w:val="403F42"/>
          <w:sz w:val="21"/>
          <w:szCs w:val="21"/>
        </w:rPr>
        <w:t xml:space="preserve">. არსებული ურწმუნოება ასევე დაკავშირებულია შემოტანილი ვაქცინის მწარმოებლის მიმართ მოსახლეობის არასანდოობაში. </w:t>
      </w:r>
      <w:r w:rsidR="00A05F71">
        <w:rPr>
          <w:rFonts w:eastAsia="Times New Roman" w:cs="Arial"/>
          <w:color w:val="403F42"/>
          <w:sz w:val="21"/>
          <w:szCs w:val="21"/>
        </w:rPr>
        <w:t xml:space="preserve"> </w:t>
      </w:r>
    </w:p>
    <w:sectPr w:rsidR="00A05F71" w:rsidSect="00AC0041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90725" w14:textId="77777777" w:rsidR="00242284" w:rsidRDefault="00242284" w:rsidP="00EB4CC3">
      <w:pPr>
        <w:spacing w:after="0" w:line="240" w:lineRule="auto"/>
      </w:pPr>
      <w:r>
        <w:separator/>
      </w:r>
    </w:p>
  </w:endnote>
  <w:endnote w:type="continuationSeparator" w:id="0">
    <w:p w14:paraId="0B1EE7D3" w14:textId="77777777" w:rsidR="00242284" w:rsidRDefault="00242284" w:rsidP="00E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6C612" w14:textId="77777777" w:rsidR="00242284" w:rsidRDefault="00242284" w:rsidP="00EB4CC3">
      <w:pPr>
        <w:spacing w:after="0" w:line="240" w:lineRule="auto"/>
      </w:pPr>
      <w:r>
        <w:separator/>
      </w:r>
    </w:p>
  </w:footnote>
  <w:footnote w:type="continuationSeparator" w:id="0">
    <w:p w14:paraId="329C2E85" w14:textId="77777777" w:rsidR="00242284" w:rsidRDefault="00242284" w:rsidP="00EB4CC3">
      <w:pPr>
        <w:spacing w:after="0" w:line="240" w:lineRule="auto"/>
      </w:pPr>
      <w:r>
        <w:continuationSeparator/>
      </w:r>
    </w:p>
  </w:footnote>
  <w:footnote w:id="1">
    <w:p w14:paraId="3F0AE3EA" w14:textId="659E10A6" w:rsidR="00A05F71" w:rsidRPr="00FE6EAB" w:rsidRDefault="00A05F71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1" w:history="1">
        <w:r w:rsidRPr="00FE6EAB">
          <w:rPr>
            <w:rStyle w:val="Hyperlink"/>
            <w:sz w:val="18"/>
            <w:szCs w:val="18"/>
          </w:rPr>
          <w:t>https://www.bloomberg.com/graphics/covid-vaccine-tracker-global-distribution/</w:t>
        </w:r>
      </w:hyperlink>
      <w:r w:rsidRPr="00FE6EAB">
        <w:rPr>
          <w:sz w:val="18"/>
          <w:szCs w:val="18"/>
        </w:rPr>
        <w:t xml:space="preserve"> </w:t>
      </w:r>
    </w:p>
  </w:footnote>
  <w:footnote w:id="2">
    <w:p w14:paraId="2FA02DA0" w14:textId="7D06E2F5" w:rsidR="00A05F71" w:rsidRPr="00FE6EAB" w:rsidRDefault="00A05F71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2" w:history="1">
        <w:r w:rsidRPr="00FE6EAB">
          <w:rPr>
            <w:rStyle w:val="Hyperlink"/>
            <w:sz w:val="18"/>
            <w:szCs w:val="18"/>
          </w:rPr>
          <w:t>https://edition.cnn.com/interactive/2021/health/global-covid-vaccinations/</w:t>
        </w:r>
      </w:hyperlink>
      <w:r w:rsidRPr="00FE6EAB">
        <w:rPr>
          <w:sz w:val="18"/>
          <w:szCs w:val="18"/>
        </w:rPr>
        <w:t xml:space="preserve"> </w:t>
      </w:r>
    </w:p>
  </w:footnote>
  <w:footnote w:id="3">
    <w:p w14:paraId="77CDF092" w14:textId="48FD2C7A" w:rsidR="00A05F71" w:rsidRPr="00FE6EAB" w:rsidRDefault="00A05F71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3" w:anchor="uptake-tab" w:history="1">
        <w:r w:rsidRPr="00FE6EAB">
          <w:rPr>
            <w:rStyle w:val="Hyperlink"/>
            <w:sz w:val="18"/>
            <w:szCs w:val="18"/>
          </w:rPr>
          <w:t>https://qap.ecdc.europa.eu/public/extensions/COVID-19/vaccine-tracker.html#uptake-tab</w:t>
        </w:r>
      </w:hyperlink>
      <w:r w:rsidRPr="00FE6EAB">
        <w:rPr>
          <w:sz w:val="18"/>
          <w:szCs w:val="18"/>
        </w:rPr>
        <w:t xml:space="preserve"> </w:t>
      </w:r>
    </w:p>
  </w:footnote>
  <w:footnote w:id="4">
    <w:p w14:paraId="1CDDDFF8" w14:textId="5B3C63C6" w:rsidR="00A05F71" w:rsidRDefault="00A05F71" w:rsidP="00EE49ED"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4" w:history="1">
        <w:r w:rsidRPr="00FE6EAB">
          <w:rPr>
            <w:rStyle w:val="Hyperlink"/>
            <w:sz w:val="18"/>
            <w:szCs w:val="18"/>
          </w:rPr>
          <w:t>https://covid19-vaccine-report.ecdc.europa.eu/</w:t>
        </w:r>
      </w:hyperlink>
      <w:r w:rsidRPr="00FE6EAB">
        <w:rPr>
          <w:sz w:val="18"/>
          <w:szCs w:val="18"/>
        </w:rPr>
        <w:t xml:space="preserve"> </w:t>
      </w:r>
    </w:p>
  </w:footnote>
  <w:footnote w:id="5">
    <w:p w14:paraId="0DA77DA7" w14:textId="6C88C337" w:rsidR="00A05F71" w:rsidRDefault="00A05F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772B15">
          <w:rPr>
            <w:rStyle w:val="Hyperlink"/>
          </w:rPr>
          <w:t>https://ourworldindata.org/covid-vaccinations</w:t>
        </w:r>
      </w:hyperlink>
      <w:r>
        <w:t xml:space="preserve"> </w:t>
      </w:r>
    </w:p>
  </w:footnote>
  <w:footnote w:id="6">
    <w:p w14:paraId="57BF8127" w14:textId="76B3D982" w:rsidR="00324FF3" w:rsidRPr="00324FF3" w:rsidRDefault="00324FF3" w:rsidP="00324FF3">
      <w:pPr>
        <w:pStyle w:val="FootnoteText"/>
        <w:rPr>
          <w:sz w:val="18"/>
          <w:szCs w:val="18"/>
        </w:rPr>
      </w:pPr>
      <w:r w:rsidRPr="00324FF3">
        <w:rPr>
          <w:rStyle w:val="FootnoteReference"/>
          <w:sz w:val="18"/>
          <w:szCs w:val="18"/>
        </w:rPr>
        <w:footnoteRef/>
      </w:r>
      <w:r w:rsidRPr="00324FF3">
        <w:rPr>
          <w:sz w:val="18"/>
          <w:szCs w:val="18"/>
        </w:rPr>
        <w:t xml:space="preserve"> </w:t>
      </w:r>
      <w:hyperlink r:id="rId6" w:history="1">
        <w:r w:rsidRPr="00324FF3">
          <w:rPr>
            <w:rStyle w:val="Hyperlink"/>
            <w:sz w:val="18"/>
            <w:szCs w:val="18"/>
          </w:rPr>
          <w:t>https://www.dw.com/en/covid-vaccine-eu-regulators-approve-johnson-johnson-shot/a-56834858</w:t>
        </w:r>
      </w:hyperlink>
      <w:r w:rsidRPr="00324FF3">
        <w:rPr>
          <w:sz w:val="18"/>
          <w:szCs w:val="18"/>
        </w:rPr>
        <w:t xml:space="preserve"> </w:t>
      </w:r>
    </w:p>
  </w:footnote>
  <w:footnote w:id="7">
    <w:p w14:paraId="2A5EEBAA" w14:textId="500AE3F6" w:rsidR="00324FF3" w:rsidRPr="00324FF3" w:rsidRDefault="00324FF3" w:rsidP="00324FF3">
      <w:pPr>
        <w:spacing w:after="0"/>
        <w:rPr>
          <w:sz w:val="18"/>
          <w:szCs w:val="18"/>
        </w:rPr>
      </w:pPr>
      <w:r w:rsidRPr="00324FF3">
        <w:rPr>
          <w:rStyle w:val="FootnoteReference"/>
          <w:sz w:val="18"/>
          <w:szCs w:val="18"/>
        </w:rPr>
        <w:footnoteRef/>
      </w:r>
      <w:r w:rsidRPr="00324FF3">
        <w:rPr>
          <w:sz w:val="18"/>
          <w:szCs w:val="18"/>
        </w:rPr>
        <w:t xml:space="preserve"> </w:t>
      </w:r>
      <w:hyperlink r:id="rId7" w:history="1">
        <w:r w:rsidRPr="00324FF3">
          <w:rPr>
            <w:rStyle w:val="Hyperlink"/>
            <w:sz w:val="18"/>
            <w:szCs w:val="18"/>
          </w:rPr>
          <w:t>https://jamanetwork.com/journals/jama/fullarticle/2777417</w:t>
        </w:r>
      </w:hyperlink>
    </w:p>
  </w:footnote>
  <w:footnote w:id="8">
    <w:p w14:paraId="0E7A260C" w14:textId="4D2A8BAD" w:rsidR="00324FF3" w:rsidRPr="00324FF3" w:rsidRDefault="00324FF3" w:rsidP="00324FF3">
      <w:pPr>
        <w:spacing w:after="0"/>
        <w:rPr>
          <w:sz w:val="18"/>
          <w:szCs w:val="18"/>
        </w:rPr>
      </w:pPr>
      <w:r w:rsidRPr="00324FF3">
        <w:rPr>
          <w:rStyle w:val="FootnoteReference"/>
          <w:sz w:val="18"/>
          <w:szCs w:val="18"/>
        </w:rPr>
        <w:footnoteRef/>
      </w:r>
      <w:r w:rsidRPr="00324FF3">
        <w:rPr>
          <w:sz w:val="18"/>
          <w:szCs w:val="18"/>
        </w:rPr>
        <w:t xml:space="preserve"> </w:t>
      </w:r>
      <w:hyperlink r:id="rId8" w:history="1">
        <w:r w:rsidRPr="00324FF3">
          <w:rPr>
            <w:rStyle w:val="Hyperlink"/>
            <w:sz w:val="18"/>
            <w:szCs w:val="18"/>
          </w:rPr>
          <w:t>https://www.reuters.com/article/us-health-coronavirus-mexico-vaccines-idUSKBN2B11OY?taid=604824b8b7d77200018e2cd4&amp;utm_campaign=trueanthem&amp;utm_medium=trueanthem&amp;utm_source=twitter</w:t>
        </w:r>
      </w:hyperlink>
      <w:r w:rsidRPr="00324FF3">
        <w:rPr>
          <w:sz w:val="18"/>
          <w:szCs w:val="18"/>
        </w:rPr>
        <w:t xml:space="preserve">  </w:t>
      </w:r>
    </w:p>
  </w:footnote>
  <w:footnote w:id="9">
    <w:p w14:paraId="178F99D9" w14:textId="03F392D3" w:rsidR="00324FF3" w:rsidRPr="00324FF3" w:rsidRDefault="00324FF3" w:rsidP="00324FF3">
      <w:pPr>
        <w:pStyle w:val="FootnoteText"/>
        <w:rPr>
          <w:sz w:val="18"/>
          <w:szCs w:val="18"/>
        </w:rPr>
      </w:pPr>
      <w:r w:rsidRPr="00324FF3">
        <w:rPr>
          <w:rStyle w:val="FootnoteReference"/>
          <w:sz w:val="18"/>
          <w:szCs w:val="18"/>
        </w:rPr>
        <w:footnoteRef/>
      </w:r>
      <w:r w:rsidRPr="00324FF3">
        <w:rPr>
          <w:sz w:val="18"/>
          <w:szCs w:val="18"/>
        </w:rPr>
        <w:t xml:space="preserve"> </w:t>
      </w:r>
      <w:hyperlink r:id="rId9" w:history="1">
        <w:r w:rsidRPr="00324FF3">
          <w:rPr>
            <w:rStyle w:val="Hyperlink"/>
            <w:rFonts w:ascii="Arial" w:eastAsia="Times New Roman" w:hAnsi="Arial" w:cs="Arial"/>
            <w:sz w:val="18"/>
            <w:szCs w:val="18"/>
          </w:rPr>
          <w:t>https://www.forbes.com/sites/alisondurkee/2021/03/10/biden-ordering-100-million-more-johnson--johnson-covid-19-vaccine-doses-to-cover-us-population/?sh=6c35f253ebfe</w:t>
        </w:r>
      </w:hyperlink>
    </w:p>
  </w:footnote>
  <w:footnote w:id="10">
    <w:p w14:paraId="3D737EE6" w14:textId="77777777" w:rsidR="00324FF3" w:rsidRPr="00324FF3" w:rsidRDefault="00324FF3" w:rsidP="00324FF3">
      <w:pPr>
        <w:spacing w:after="0"/>
        <w:rPr>
          <w:rFonts w:eastAsia="Times New Roman" w:cs="Arial"/>
          <w:color w:val="403F42"/>
          <w:sz w:val="18"/>
          <w:szCs w:val="18"/>
        </w:rPr>
      </w:pPr>
      <w:r w:rsidRPr="00324FF3">
        <w:rPr>
          <w:rStyle w:val="FootnoteReference"/>
          <w:sz w:val="18"/>
          <w:szCs w:val="18"/>
        </w:rPr>
        <w:footnoteRef/>
      </w:r>
      <w:r w:rsidRPr="00324FF3">
        <w:rPr>
          <w:sz w:val="18"/>
          <w:szCs w:val="18"/>
        </w:rPr>
        <w:t xml:space="preserve"> </w:t>
      </w:r>
      <w:hyperlink r:id="rId10" w:history="1">
        <w:r w:rsidRPr="00324FF3">
          <w:rPr>
            <w:rStyle w:val="Hyperlink"/>
            <w:rFonts w:eastAsia="Times New Roman" w:cs="Arial"/>
            <w:sz w:val="18"/>
            <w:szCs w:val="18"/>
          </w:rPr>
          <w:t>https://apnews.com/article/ukraine-wide-resistance-coronavirus-vaccines-9c5905221f25140e990e03142f974501</w:t>
        </w:r>
      </w:hyperlink>
      <w:r w:rsidRPr="00324FF3">
        <w:rPr>
          <w:rFonts w:eastAsia="Times New Roman" w:cs="Arial"/>
          <w:color w:val="403F42"/>
          <w:sz w:val="18"/>
          <w:szCs w:val="18"/>
        </w:rPr>
        <w:t xml:space="preserve"> </w:t>
      </w:r>
    </w:p>
    <w:p w14:paraId="5B7E72B8" w14:textId="12D81C31" w:rsidR="00324FF3" w:rsidRPr="00324FF3" w:rsidRDefault="00324FF3" w:rsidP="00324FF3">
      <w:pPr>
        <w:pStyle w:val="FootnoteText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4104"/>
    <w:multiLevelType w:val="multilevel"/>
    <w:tmpl w:val="0BF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657720"/>
    <w:multiLevelType w:val="hybridMultilevel"/>
    <w:tmpl w:val="91F04B4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7038E"/>
    <w:multiLevelType w:val="hybridMultilevel"/>
    <w:tmpl w:val="2E4EDE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EE"/>
    <w:rsid w:val="00000BC6"/>
    <w:rsid w:val="000045D1"/>
    <w:rsid w:val="00007FDE"/>
    <w:rsid w:val="00012043"/>
    <w:rsid w:val="0001430C"/>
    <w:rsid w:val="00022CC5"/>
    <w:rsid w:val="000260DD"/>
    <w:rsid w:val="000341AF"/>
    <w:rsid w:val="000439FF"/>
    <w:rsid w:val="00045E62"/>
    <w:rsid w:val="0005065A"/>
    <w:rsid w:val="0006028F"/>
    <w:rsid w:val="00075F94"/>
    <w:rsid w:val="00082C5A"/>
    <w:rsid w:val="0008393F"/>
    <w:rsid w:val="0009557E"/>
    <w:rsid w:val="000A3D0F"/>
    <w:rsid w:val="000B2853"/>
    <w:rsid w:val="000B44EE"/>
    <w:rsid w:val="000B79EA"/>
    <w:rsid w:val="000C3210"/>
    <w:rsid w:val="000D1D2F"/>
    <w:rsid w:val="000D6133"/>
    <w:rsid w:val="000D7100"/>
    <w:rsid w:val="000E0BCA"/>
    <w:rsid w:val="000F0640"/>
    <w:rsid w:val="000F5FE4"/>
    <w:rsid w:val="000F646A"/>
    <w:rsid w:val="000F772C"/>
    <w:rsid w:val="00101FD5"/>
    <w:rsid w:val="0010212B"/>
    <w:rsid w:val="00115CAB"/>
    <w:rsid w:val="00117E45"/>
    <w:rsid w:val="00121646"/>
    <w:rsid w:val="00124F74"/>
    <w:rsid w:val="001332C4"/>
    <w:rsid w:val="001477FA"/>
    <w:rsid w:val="00161CA6"/>
    <w:rsid w:val="0016585B"/>
    <w:rsid w:val="001717B7"/>
    <w:rsid w:val="00183E69"/>
    <w:rsid w:val="00193C5E"/>
    <w:rsid w:val="00197444"/>
    <w:rsid w:val="001A3F33"/>
    <w:rsid w:val="001A5CCD"/>
    <w:rsid w:val="001A685B"/>
    <w:rsid w:val="001A764D"/>
    <w:rsid w:val="001B1453"/>
    <w:rsid w:val="001C0949"/>
    <w:rsid w:val="001C1459"/>
    <w:rsid w:val="001C1EBA"/>
    <w:rsid w:val="001C2D10"/>
    <w:rsid w:val="001C4461"/>
    <w:rsid w:val="001D671B"/>
    <w:rsid w:val="001E2B71"/>
    <w:rsid w:val="001E2FCC"/>
    <w:rsid w:val="001E34AB"/>
    <w:rsid w:val="001E46E3"/>
    <w:rsid w:val="001F6436"/>
    <w:rsid w:val="001F72FD"/>
    <w:rsid w:val="002040EC"/>
    <w:rsid w:val="00211A78"/>
    <w:rsid w:val="00213340"/>
    <w:rsid w:val="0021371D"/>
    <w:rsid w:val="00223959"/>
    <w:rsid w:val="00225AE2"/>
    <w:rsid w:val="002267AE"/>
    <w:rsid w:val="00231D90"/>
    <w:rsid w:val="0024127A"/>
    <w:rsid w:val="00242284"/>
    <w:rsid w:val="00242D3F"/>
    <w:rsid w:val="002452BB"/>
    <w:rsid w:val="00253887"/>
    <w:rsid w:val="00255BE9"/>
    <w:rsid w:val="00255DAF"/>
    <w:rsid w:val="00270156"/>
    <w:rsid w:val="002777D3"/>
    <w:rsid w:val="0028121C"/>
    <w:rsid w:val="002852E5"/>
    <w:rsid w:val="00286058"/>
    <w:rsid w:val="002876EC"/>
    <w:rsid w:val="002916D8"/>
    <w:rsid w:val="00292D4C"/>
    <w:rsid w:val="002964EB"/>
    <w:rsid w:val="002A0940"/>
    <w:rsid w:val="002A0CD1"/>
    <w:rsid w:val="002A349F"/>
    <w:rsid w:val="002B5904"/>
    <w:rsid w:val="002C2092"/>
    <w:rsid w:val="002C3FE1"/>
    <w:rsid w:val="002C79B3"/>
    <w:rsid w:val="002C7A16"/>
    <w:rsid w:val="002D3A86"/>
    <w:rsid w:val="002D5E9D"/>
    <w:rsid w:val="002E0309"/>
    <w:rsid w:val="002E5F4D"/>
    <w:rsid w:val="002F64BA"/>
    <w:rsid w:val="00304472"/>
    <w:rsid w:val="003070C3"/>
    <w:rsid w:val="0030783A"/>
    <w:rsid w:val="00312CB5"/>
    <w:rsid w:val="0031489F"/>
    <w:rsid w:val="003174A4"/>
    <w:rsid w:val="00321026"/>
    <w:rsid w:val="00323F51"/>
    <w:rsid w:val="00324827"/>
    <w:rsid w:val="00324FF3"/>
    <w:rsid w:val="003250E2"/>
    <w:rsid w:val="003357B5"/>
    <w:rsid w:val="00335C76"/>
    <w:rsid w:val="00337724"/>
    <w:rsid w:val="003408DF"/>
    <w:rsid w:val="00344225"/>
    <w:rsid w:val="00345C40"/>
    <w:rsid w:val="0035079B"/>
    <w:rsid w:val="003512F0"/>
    <w:rsid w:val="00351EF7"/>
    <w:rsid w:val="0036020A"/>
    <w:rsid w:val="003620B7"/>
    <w:rsid w:val="003729A0"/>
    <w:rsid w:val="003A1911"/>
    <w:rsid w:val="003A2138"/>
    <w:rsid w:val="003B6F72"/>
    <w:rsid w:val="003C0C26"/>
    <w:rsid w:val="003C5B43"/>
    <w:rsid w:val="003D546C"/>
    <w:rsid w:val="003E13A2"/>
    <w:rsid w:val="003E205A"/>
    <w:rsid w:val="003E2375"/>
    <w:rsid w:val="003E3B08"/>
    <w:rsid w:val="003E4D90"/>
    <w:rsid w:val="003F18A5"/>
    <w:rsid w:val="003F4E1B"/>
    <w:rsid w:val="004043E8"/>
    <w:rsid w:val="00411497"/>
    <w:rsid w:val="00413F70"/>
    <w:rsid w:val="004345EE"/>
    <w:rsid w:val="00437ABB"/>
    <w:rsid w:val="00440355"/>
    <w:rsid w:val="00444394"/>
    <w:rsid w:val="00447572"/>
    <w:rsid w:val="00453C76"/>
    <w:rsid w:val="00463A0F"/>
    <w:rsid w:val="0046788A"/>
    <w:rsid w:val="00472000"/>
    <w:rsid w:val="0047406A"/>
    <w:rsid w:val="004779DC"/>
    <w:rsid w:val="00481839"/>
    <w:rsid w:val="00483137"/>
    <w:rsid w:val="00486EC6"/>
    <w:rsid w:val="0048742D"/>
    <w:rsid w:val="004936FE"/>
    <w:rsid w:val="004A23F0"/>
    <w:rsid w:val="004A60AB"/>
    <w:rsid w:val="004A6B07"/>
    <w:rsid w:val="004B183A"/>
    <w:rsid w:val="004B1CA8"/>
    <w:rsid w:val="004C0BB7"/>
    <w:rsid w:val="004C0BFB"/>
    <w:rsid w:val="004C34CD"/>
    <w:rsid w:val="004D2201"/>
    <w:rsid w:val="004D285F"/>
    <w:rsid w:val="004D4340"/>
    <w:rsid w:val="004D5C83"/>
    <w:rsid w:val="004D6FB9"/>
    <w:rsid w:val="004D7839"/>
    <w:rsid w:val="004E3716"/>
    <w:rsid w:val="004F1A45"/>
    <w:rsid w:val="004F610C"/>
    <w:rsid w:val="004F770F"/>
    <w:rsid w:val="005275F6"/>
    <w:rsid w:val="00532B2C"/>
    <w:rsid w:val="00536ABB"/>
    <w:rsid w:val="00543CE7"/>
    <w:rsid w:val="00546856"/>
    <w:rsid w:val="00555B5E"/>
    <w:rsid w:val="00556502"/>
    <w:rsid w:val="00564151"/>
    <w:rsid w:val="00580124"/>
    <w:rsid w:val="0058721E"/>
    <w:rsid w:val="005903BD"/>
    <w:rsid w:val="005A6429"/>
    <w:rsid w:val="005B6C35"/>
    <w:rsid w:val="005C258B"/>
    <w:rsid w:val="005C2FBA"/>
    <w:rsid w:val="005C5C17"/>
    <w:rsid w:val="005D54A2"/>
    <w:rsid w:val="005E7EA9"/>
    <w:rsid w:val="005F23D2"/>
    <w:rsid w:val="006008BD"/>
    <w:rsid w:val="006017B9"/>
    <w:rsid w:val="00605108"/>
    <w:rsid w:val="0060639E"/>
    <w:rsid w:val="00611A46"/>
    <w:rsid w:val="00613DC9"/>
    <w:rsid w:val="006203A0"/>
    <w:rsid w:val="00625780"/>
    <w:rsid w:val="00647D38"/>
    <w:rsid w:val="00654921"/>
    <w:rsid w:val="00654BE1"/>
    <w:rsid w:val="00655989"/>
    <w:rsid w:val="006648B4"/>
    <w:rsid w:val="00664CDE"/>
    <w:rsid w:val="00671A83"/>
    <w:rsid w:val="0067541F"/>
    <w:rsid w:val="00675A34"/>
    <w:rsid w:val="0069460A"/>
    <w:rsid w:val="006A08F6"/>
    <w:rsid w:val="006A22E3"/>
    <w:rsid w:val="006B76D9"/>
    <w:rsid w:val="006C2414"/>
    <w:rsid w:val="006E2A8B"/>
    <w:rsid w:val="006F527E"/>
    <w:rsid w:val="00700367"/>
    <w:rsid w:val="00710D5B"/>
    <w:rsid w:val="007127A8"/>
    <w:rsid w:val="00713317"/>
    <w:rsid w:val="00713C67"/>
    <w:rsid w:val="007165EF"/>
    <w:rsid w:val="00717A72"/>
    <w:rsid w:val="007217B1"/>
    <w:rsid w:val="00726277"/>
    <w:rsid w:val="00731C15"/>
    <w:rsid w:val="00731E92"/>
    <w:rsid w:val="00732899"/>
    <w:rsid w:val="00735E16"/>
    <w:rsid w:val="00736CC9"/>
    <w:rsid w:val="0074349D"/>
    <w:rsid w:val="00745157"/>
    <w:rsid w:val="0074596F"/>
    <w:rsid w:val="0075203C"/>
    <w:rsid w:val="00753D73"/>
    <w:rsid w:val="00776EAA"/>
    <w:rsid w:val="00776F8F"/>
    <w:rsid w:val="00785F2B"/>
    <w:rsid w:val="00790C8A"/>
    <w:rsid w:val="007A0FD7"/>
    <w:rsid w:val="007B7FFE"/>
    <w:rsid w:val="007C3586"/>
    <w:rsid w:val="007D10D5"/>
    <w:rsid w:val="007D36AF"/>
    <w:rsid w:val="007D6334"/>
    <w:rsid w:val="007D6FE1"/>
    <w:rsid w:val="007D7D1F"/>
    <w:rsid w:val="007E15A8"/>
    <w:rsid w:val="007E21BC"/>
    <w:rsid w:val="007E2AD4"/>
    <w:rsid w:val="007F2F94"/>
    <w:rsid w:val="007F6A60"/>
    <w:rsid w:val="0080039A"/>
    <w:rsid w:val="008006D6"/>
    <w:rsid w:val="0080271C"/>
    <w:rsid w:val="00805A66"/>
    <w:rsid w:val="00810369"/>
    <w:rsid w:val="0083004B"/>
    <w:rsid w:val="00835545"/>
    <w:rsid w:val="0084710B"/>
    <w:rsid w:val="0085312A"/>
    <w:rsid w:val="0085453B"/>
    <w:rsid w:val="00854ABA"/>
    <w:rsid w:val="00861571"/>
    <w:rsid w:val="00862E83"/>
    <w:rsid w:val="0086352D"/>
    <w:rsid w:val="00872ED1"/>
    <w:rsid w:val="008747AD"/>
    <w:rsid w:val="0087692C"/>
    <w:rsid w:val="00877990"/>
    <w:rsid w:val="00882345"/>
    <w:rsid w:val="008837A8"/>
    <w:rsid w:val="0088650E"/>
    <w:rsid w:val="00891374"/>
    <w:rsid w:val="00895563"/>
    <w:rsid w:val="008A4873"/>
    <w:rsid w:val="008A4D27"/>
    <w:rsid w:val="008B5A62"/>
    <w:rsid w:val="008B6B36"/>
    <w:rsid w:val="008E1250"/>
    <w:rsid w:val="008E27D4"/>
    <w:rsid w:val="008E2DD0"/>
    <w:rsid w:val="008E3611"/>
    <w:rsid w:val="008E4505"/>
    <w:rsid w:val="008E5434"/>
    <w:rsid w:val="008F6B26"/>
    <w:rsid w:val="009020B5"/>
    <w:rsid w:val="009105CE"/>
    <w:rsid w:val="009114BE"/>
    <w:rsid w:val="00916B76"/>
    <w:rsid w:val="00921F1A"/>
    <w:rsid w:val="009246DD"/>
    <w:rsid w:val="009258A9"/>
    <w:rsid w:val="00927F48"/>
    <w:rsid w:val="00953033"/>
    <w:rsid w:val="00954F53"/>
    <w:rsid w:val="00965D5A"/>
    <w:rsid w:val="0096760D"/>
    <w:rsid w:val="00970C4F"/>
    <w:rsid w:val="009746CE"/>
    <w:rsid w:val="00977C45"/>
    <w:rsid w:val="00983101"/>
    <w:rsid w:val="00984AF3"/>
    <w:rsid w:val="00993ABF"/>
    <w:rsid w:val="0099530A"/>
    <w:rsid w:val="009A0F52"/>
    <w:rsid w:val="009A7C4F"/>
    <w:rsid w:val="009B114C"/>
    <w:rsid w:val="009D3135"/>
    <w:rsid w:val="009E444D"/>
    <w:rsid w:val="009E5485"/>
    <w:rsid w:val="009E6EF6"/>
    <w:rsid w:val="009F1C01"/>
    <w:rsid w:val="009F2BBD"/>
    <w:rsid w:val="009F7156"/>
    <w:rsid w:val="00A05F71"/>
    <w:rsid w:val="00A176E7"/>
    <w:rsid w:val="00A27BD9"/>
    <w:rsid w:val="00A33292"/>
    <w:rsid w:val="00A37E18"/>
    <w:rsid w:val="00A4760E"/>
    <w:rsid w:val="00A509F6"/>
    <w:rsid w:val="00A514CF"/>
    <w:rsid w:val="00A51501"/>
    <w:rsid w:val="00A527F1"/>
    <w:rsid w:val="00A562FD"/>
    <w:rsid w:val="00A613A3"/>
    <w:rsid w:val="00AA125B"/>
    <w:rsid w:val="00AA32BF"/>
    <w:rsid w:val="00AA5727"/>
    <w:rsid w:val="00AC0041"/>
    <w:rsid w:val="00AD4560"/>
    <w:rsid w:val="00AE2273"/>
    <w:rsid w:val="00AE2D88"/>
    <w:rsid w:val="00AE6089"/>
    <w:rsid w:val="00AF0200"/>
    <w:rsid w:val="00AF7919"/>
    <w:rsid w:val="00B10A7C"/>
    <w:rsid w:val="00B118E4"/>
    <w:rsid w:val="00B11A71"/>
    <w:rsid w:val="00B12CF2"/>
    <w:rsid w:val="00B17CAE"/>
    <w:rsid w:val="00B22E27"/>
    <w:rsid w:val="00B303DE"/>
    <w:rsid w:val="00B50475"/>
    <w:rsid w:val="00B52E4C"/>
    <w:rsid w:val="00B55AE2"/>
    <w:rsid w:val="00B63C62"/>
    <w:rsid w:val="00B720AE"/>
    <w:rsid w:val="00B7285F"/>
    <w:rsid w:val="00B8056A"/>
    <w:rsid w:val="00B836EB"/>
    <w:rsid w:val="00B9418E"/>
    <w:rsid w:val="00BA1470"/>
    <w:rsid w:val="00BB2E7E"/>
    <w:rsid w:val="00BC1CFF"/>
    <w:rsid w:val="00BD3C07"/>
    <w:rsid w:val="00BE014B"/>
    <w:rsid w:val="00BE3C02"/>
    <w:rsid w:val="00BE7658"/>
    <w:rsid w:val="00BE7C81"/>
    <w:rsid w:val="00BE7DEF"/>
    <w:rsid w:val="00BF4626"/>
    <w:rsid w:val="00BF74D6"/>
    <w:rsid w:val="00C11319"/>
    <w:rsid w:val="00C1386E"/>
    <w:rsid w:val="00C175F5"/>
    <w:rsid w:val="00C26AAA"/>
    <w:rsid w:val="00C27DC0"/>
    <w:rsid w:val="00C37C5A"/>
    <w:rsid w:val="00C531B0"/>
    <w:rsid w:val="00C56F82"/>
    <w:rsid w:val="00C752E0"/>
    <w:rsid w:val="00C77611"/>
    <w:rsid w:val="00C80102"/>
    <w:rsid w:val="00C86AEC"/>
    <w:rsid w:val="00C96FCB"/>
    <w:rsid w:val="00C9782F"/>
    <w:rsid w:val="00CA5D50"/>
    <w:rsid w:val="00CB681E"/>
    <w:rsid w:val="00CD4910"/>
    <w:rsid w:val="00CE2636"/>
    <w:rsid w:val="00CE48E2"/>
    <w:rsid w:val="00CF12BD"/>
    <w:rsid w:val="00CF2B5B"/>
    <w:rsid w:val="00CF6466"/>
    <w:rsid w:val="00D01145"/>
    <w:rsid w:val="00D02F06"/>
    <w:rsid w:val="00D13779"/>
    <w:rsid w:val="00D20709"/>
    <w:rsid w:val="00D27703"/>
    <w:rsid w:val="00D34888"/>
    <w:rsid w:val="00D35D1F"/>
    <w:rsid w:val="00D367B2"/>
    <w:rsid w:val="00D401DC"/>
    <w:rsid w:val="00D57B11"/>
    <w:rsid w:val="00D63457"/>
    <w:rsid w:val="00D670EE"/>
    <w:rsid w:val="00D7311C"/>
    <w:rsid w:val="00D9174B"/>
    <w:rsid w:val="00D94281"/>
    <w:rsid w:val="00DA0984"/>
    <w:rsid w:val="00DA63D8"/>
    <w:rsid w:val="00DB6CEF"/>
    <w:rsid w:val="00DD01DB"/>
    <w:rsid w:val="00DD2840"/>
    <w:rsid w:val="00DD371E"/>
    <w:rsid w:val="00DE0D68"/>
    <w:rsid w:val="00DF024B"/>
    <w:rsid w:val="00DF25EC"/>
    <w:rsid w:val="00DF780B"/>
    <w:rsid w:val="00E07AD5"/>
    <w:rsid w:val="00E14841"/>
    <w:rsid w:val="00E27FC5"/>
    <w:rsid w:val="00E330DF"/>
    <w:rsid w:val="00E34C40"/>
    <w:rsid w:val="00E4049E"/>
    <w:rsid w:val="00E40B0B"/>
    <w:rsid w:val="00E45D6B"/>
    <w:rsid w:val="00E4723B"/>
    <w:rsid w:val="00E6401A"/>
    <w:rsid w:val="00E946C6"/>
    <w:rsid w:val="00EA558E"/>
    <w:rsid w:val="00EA6ADC"/>
    <w:rsid w:val="00EB4CC3"/>
    <w:rsid w:val="00EC4E14"/>
    <w:rsid w:val="00ED13E8"/>
    <w:rsid w:val="00EE49ED"/>
    <w:rsid w:val="00EF27CD"/>
    <w:rsid w:val="00EF3E94"/>
    <w:rsid w:val="00F01569"/>
    <w:rsid w:val="00F0282F"/>
    <w:rsid w:val="00F12424"/>
    <w:rsid w:val="00F156C4"/>
    <w:rsid w:val="00F2158A"/>
    <w:rsid w:val="00F24D93"/>
    <w:rsid w:val="00F32D95"/>
    <w:rsid w:val="00F41BBF"/>
    <w:rsid w:val="00F41F64"/>
    <w:rsid w:val="00F42662"/>
    <w:rsid w:val="00F45F99"/>
    <w:rsid w:val="00F5179C"/>
    <w:rsid w:val="00F522A4"/>
    <w:rsid w:val="00F70C0E"/>
    <w:rsid w:val="00F71A65"/>
    <w:rsid w:val="00F823AD"/>
    <w:rsid w:val="00F823E0"/>
    <w:rsid w:val="00F84793"/>
    <w:rsid w:val="00F87A3E"/>
    <w:rsid w:val="00F90487"/>
    <w:rsid w:val="00F95B8C"/>
    <w:rsid w:val="00F976D9"/>
    <w:rsid w:val="00FA7C06"/>
    <w:rsid w:val="00FB01D1"/>
    <w:rsid w:val="00FB0CD7"/>
    <w:rsid w:val="00FB29BD"/>
    <w:rsid w:val="00FB64AB"/>
    <w:rsid w:val="00FB7080"/>
    <w:rsid w:val="00FC07B9"/>
    <w:rsid w:val="00FC7E19"/>
    <w:rsid w:val="00FD6A5D"/>
    <w:rsid w:val="00FE2E04"/>
    <w:rsid w:val="00FE3611"/>
    <w:rsid w:val="00FE6146"/>
    <w:rsid w:val="00FE6EAB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02F"/>
  <w15:chartTrackingRefBased/>
  <w15:docId w15:val="{0E108910-9B8A-41D3-99F4-122089C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0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46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2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B18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6F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css-38z03z">
    <w:name w:val="css-38z03z"/>
    <w:basedOn w:val="Normal"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ote1">
    <w:name w:val="Quote1"/>
    <w:basedOn w:val="Normal"/>
    <w:rsid w:val="0034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C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4C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D277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D27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7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ters.com/article/us-health-coronavirus-mexico-vaccines-idUSKBN2B11OY?taid=604824b8b7d77200018e2cd4&amp;utm_campaign=trueanthem&amp;utm_medium=trueanthem&amp;utm_source=twitter" TargetMode="External"/><Relationship Id="rId3" Type="http://schemas.openxmlformats.org/officeDocument/2006/relationships/hyperlink" Target="https://qap.ecdc.europa.eu/public/extensions/COVID-19/vaccine-tracker.html" TargetMode="External"/><Relationship Id="rId7" Type="http://schemas.openxmlformats.org/officeDocument/2006/relationships/hyperlink" Target="https://jamanetwork.com/journals/jama/fullarticle/2777417" TargetMode="External"/><Relationship Id="rId2" Type="http://schemas.openxmlformats.org/officeDocument/2006/relationships/hyperlink" Target="https://edition.cnn.com/interactive/2021/health/global-covid-vaccinations/" TargetMode="External"/><Relationship Id="rId1" Type="http://schemas.openxmlformats.org/officeDocument/2006/relationships/hyperlink" Target="https://www.bloomberg.com/graphics/covid-vaccine-tracker-global-distribution/" TargetMode="External"/><Relationship Id="rId6" Type="http://schemas.openxmlformats.org/officeDocument/2006/relationships/hyperlink" Target="https://www.dw.com/en/covid-vaccine-eu-regulators-approve-johnson-johnson-shot/a-56834858" TargetMode="External"/><Relationship Id="rId5" Type="http://schemas.openxmlformats.org/officeDocument/2006/relationships/hyperlink" Target="https://ourworldindata.org/covid-vaccinations" TargetMode="External"/><Relationship Id="rId10" Type="http://schemas.openxmlformats.org/officeDocument/2006/relationships/hyperlink" Target="https://apnews.com/article/ukraine-wide-resistance-coronavirus-vaccines-9c5905221f25140e990e03142f974501" TargetMode="External"/><Relationship Id="rId4" Type="http://schemas.openxmlformats.org/officeDocument/2006/relationships/hyperlink" Target="https://covid19-vaccine-report.ecdc.europa.eu/" TargetMode="External"/><Relationship Id="rId9" Type="http://schemas.openxmlformats.org/officeDocument/2006/relationships/hyperlink" Target="https://www.forbes.com/sites/alisondurkee/2021/03/10/biden-ordering-100-million-more-johnson--johnson-covid-19-vaccine-doses-to-cover-us-population/?sh=6c35f253eb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B8D12-4C2B-4943-9068-6B93C5BF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Amiran Gamkrelidze</cp:lastModifiedBy>
  <cp:revision>2</cp:revision>
  <dcterms:created xsi:type="dcterms:W3CDTF">2021-03-11T17:50:00Z</dcterms:created>
  <dcterms:modified xsi:type="dcterms:W3CDTF">2021-03-11T17:50:00Z</dcterms:modified>
</cp:coreProperties>
</file>